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 xml:space="preserve">WG4 Meeting # </w:t>
      </w:r>
      <w:r>
        <w:rPr>
          <w:rFonts w:hint="eastAsia" w:ascii="Arial" w:hAnsi="Arial" w:eastAsia="宋体" w:cs="Times New Roman"/>
          <w:b/>
          <w:sz w:val="24"/>
          <w:szCs w:val="20"/>
          <w:lang w:val="en-US" w:eastAsia="zh-CN"/>
        </w:rPr>
        <w:t>10</w:t>
      </w:r>
      <w:r>
        <w:rPr>
          <w:rFonts w:hint="eastAsia" w:ascii="Arial" w:hAnsi="Arial" w:cs="Times New Roman"/>
          <w:b/>
          <w:sz w:val="24"/>
          <w:szCs w:val="20"/>
          <w:lang w:val="en-US" w:eastAsia="zh-CN"/>
        </w:rPr>
        <w:t>5</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R4-2219364</w:t>
      </w:r>
    </w:p>
    <w:bookmarkEnd w:id="0"/>
    <w:bookmarkEnd w:id="1"/>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9.5.3</w:t>
      </w:r>
      <w:bookmarkStart w:id="140" w:name="_GoBack"/>
      <w:bookmarkEnd w:id="140"/>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3" w:name="OLE_LINK1"/>
      <w:r>
        <w:rPr>
          <w:rFonts w:hint="eastAsia" w:ascii="Arial" w:hAnsi="Arial" w:eastAsia="宋体" w:cs="Arial"/>
          <w:b/>
          <w:sz w:val="24"/>
          <w:szCs w:val="24"/>
          <w:highlight w:val="none"/>
          <w:lang w:val="en-US" w:eastAsia="zh-CN"/>
        </w:rPr>
        <w:t xml:space="preserve">Further discussion on </w:t>
      </w:r>
      <w:bookmarkEnd w:id="3"/>
      <w:r>
        <w:rPr>
          <w:rFonts w:hint="eastAsia" w:ascii="Arial" w:hAnsi="Arial" w:cs="Arial"/>
          <w:b/>
          <w:sz w:val="24"/>
          <w:szCs w:val="24"/>
          <w:highlight w:val="none"/>
          <w:lang w:val="en-US" w:eastAsia="zh-CN"/>
        </w:rPr>
        <w:t>simulation assumptions and evaluation results for IoT over NTN</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4" w:name="DocumentFor"/>
      <w:bookmarkEnd w:id="4"/>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3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package.During the last RAN4 meeting, we have reached good progress for the simulation assumption for IoT over NTN coexistence study, however there are still some remaining issues left for further discussions. In this contribution, we want to share some further consideration on these issues.</w:t>
      </w:r>
    </w:p>
    <w:p>
      <w:pPr>
        <w:pStyle w:val="37"/>
        <w:keepNext w:val="0"/>
        <w:keepLines w:val="0"/>
        <w:pageBreakBefore w:val="0"/>
        <w:widowControl w:val="0"/>
        <w:numPr>
          <w:ilvl w:val="0"/>
          <w:numId w:val="2"/>
        </w:numPr>
        <w:kinsoku/>
        <w:wordWrap/>
        <w:overflowPunct/>
        <w:topLinePunct w:val="0"/>
        <w:autoSpaceDE/>
        <w:autoSpaceDN/>
        <w:bidi w:val="0"/>
        <w:adjustRightInd/>
        <w:snapToGrid w:val="0"/>
        <w:spacing w:before="120"/>
        <w:ind w:left="147" w:hanging="357"/>
        <w:textAlignment w:val="auto"/>
        <w:rPr>
          <w:rFonts w:ascii="Times New Roman" w:hAnsi="Times New Roman"/>
          <w:color w:val="000000"/>
          <w:sz w:val="20"/>
          <w:lang w:eastAsia="ja-JP"/>
        </w:rPr>
      </w:pPr>
      <w:r>
        <w:rPr>
          <w:rFonts w:hint="default" w:ascii="Times New Roman" w:hAnsi="Times New Roman"/>
          <w:color w:val="000000"/>
          <w:sz w:val="20"/>
          <w:lang w:eastAsia="ja-JP"/>
        </w:rPr>
        <w:t xml:space="preserve"> </w:t>
      </w:r>
      <w:r>
        <w:rPr>
          <w:rFonts w:hint="eastAsia"/>
          <w:color w:val="000000"/>
          <w:sz w:val="20"/>
          <w:lang w:val="en-US" w:eastAsia="zh-CN"/>
        </w:rPr>
        <w:t xml:space="preserve">The number of </w:t>
      </w:r>
      <w:r>
        <w:rPr>
          <w:rFonts w:hint="default" w:ascii="Times New Roman" w:hAnsi="Times New Roman"/>
          <w:color w:val="000000"/>
          <w:sz w:val="20"/>
          <w:lang w:eastAsia="ja-JP"/>
        </w:rPr>
        <w:t>active UE for IoT over NTN;</w:t>
      </w:r>
    </w:p>
    <w:p>
      <w:pPr>
        <w:pStyle w:val="37"/>
        <w:keepNext w:val="0"/>
        <w:keepLines w:val="0"/>
        <w:pageBreakBefore w:val="0"/>
        <w:widowControl w:val="0"/>
        <w:numPr>
          <w:ilvl w:val="0"/>
          <w:numId w:val="2"/>
        </w:numPr>
        <w:kinsoku/>
        <w:wordWrap/>
        <w:overflowPunct/>
        <w:topLinePunct w:val="0"/>
        <w:autoSpaceDE/>
        <w:autoSpaceDN/>
        <w:bidi w:val="0"/>
        <w:adjustRightInd/>
        <w:snapToGrid w:val="0"/>
        <w:spacing w:before="120"/>
        <w:ind w:left="147" w:hanging="357"/>
        <w:textAlignment w:val="auto"/>
        <w:rPr>
          <w:rFonts w:hint="default" w:ascii="Times New Roman" w:hAnsi="Times New Roman"/>
          <w:color w:val="000000"/>
          <w:sz w:val="20"/>
          <w:lang w:eastAsia="ja-JP"/>
        </w:rPr>
      </w:pPr>
      <w:r>
        <w:rPr>
          <w:rFonts w:hint="default" w:ascii="Times New Roman" w:hAnsi="Times New Roman"/>
          <w:color w:val="000000"/>
          <w:sz w:val="20"/>
          <w:lang w:eastAsia="ja-JP"/>
        </w:rPr>
        <w:t xml:space="preserve"> ACLR/ACS model for IoT over NTN coex</w:t>
      </w:r>
    </w:p>
    <w:p>
      <w:pPr>
        <w:pStyle w:val="37"/>
        <w:keepNext w:val="0"/>
        <w:keepLines w:val="0"/>
        <w:pageBreakBefore w:val="0"/>
        <w:widowControl w:val="0"/>
        <w:numPr>
          <w:ilvl w:val="0"/>
          <w:numId w:val="2"/>
        </w:numPr>
        <w:kinsoku/>
        <w:wordWrap/>
        <w:overflowPunct/>
        <w:topLinePunct w:val="0"/>
        <w:autoSpaceDE/>
        <w:autoSpaceDN/>
        <w:bidi w:val="0"/>
        <w:adjustRightInd/>
        <w:snapToGrid w:val="0"/>
        <w:spacing w:before="120"/>
        <w:ind w:left="147" w:hanging="357"/>
        <w:textAlignment w:val="auto"/>
        <w:rPr>
          <w:rFonts w:hint="eastAsia" w:ascii="Times New Roman" w:hAnsi="Times New Roman" w:eastAsia="宋体" w:cs="Times New Roman"/>
          <w:sz w:val="20"/>
          <w:szCs w:val="22"/>
          <w:highlight w:val="none"/>
          <w:lang w:val="en-US" w:eastAsia="zh-CN"/>
        </w:rPr>
      </w:pPr>
      <w:r>
        <w:rPr>
          <w:rFonts w:hint="eastAsia"/>
          <w:color w:val="000000"/>
          <w:sz w:val="20"/>
          <w:lang w:val="en-US" w:eastAsia="zh-CN"/>
        </w:rPr>
        <w:t xml:space="preserve"> </w:t>
      </w:r>
      <w:r>
        <w:rPr>
          <w:rFonts w:hint="default" w:ascii="Times New Roman" w:hAnsi="Times New Roman"/>
          <w:color w:val="000000"/>
          <w:sz w:val="20"/>
          <w:lang w:eastAsia="ja-JP"/>
        </w:rPr>
        <w:t>How to verify that we can reuse the existing requirements (etc. UTRA ACLR requirements);</w:t>
      </w:r>
    </w:p>
    <w:p>
      <w:pPr>
        <w:pStyle w:val="36"/>
        <w:pBdr>
          <w:top w:val="single" w:color="auto" w:sz="4" w:space="1"/>
        </w:pBdr>
        <w:tabs>
          <w:tab w:val="left" w:pos="567"/>
          <w:tab w:val="clear" w:pos="1985"/>
        </w:tabs>
        <w:adjustRightInd w:val="0"/>
        <w:ind w:left="510" w:hanging="510"/>
        <w:rPr>
          <w:rFonts w:hint="eastAsia" w:ascii="Arial" w:hAnsi="Arial"/>
          <w:highlight w:val="none"/>
          <w:lang w:val="en-US" w:eastAsia="zh-CN"/>
        </w:rPr>
      </w:pPr>
      <w:bookmarkStart w:id="5" w:name="OLE_LINK13"/>
      <w:bookmarkStart w:id="6" w:name="OLE_LINK14"/>
      <w:r>
        <w:rPr>
          <w:rFonts w:hint="eastAsia"/>
          <w:highlight w:val="none"/>
          <w:lang w:val="en-US" w:eastAsia="zh-CN"/>
        </w:rPr>
        <w:t>Simulation results</w:t>
      </w:r>
      <w:r>
        <w:rPr>
          <w:rFonts w:hint="eastAsia" w:ascii="Arial" w:hAnsi="Arial"/>
          <w:highlight w:val="none"/>
        </w:rPr>
        <w:t xml:space="preserve"> for IoT over NTN</w:t>
      </w:r>
      <w:r>
        <w:rPr>
          <w:rFonts w:hint="eastAsia"/>
          <w:highlight w:val="none"/>
          <w:lang w:val="en-US" w:eastAsia="zh-CN"/>
        </w:rPr>
        <w:t xml:space="preserve"> coexistence study</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2"/>
          <w:szCs w:val="22"/>
          <w:lang w:val="en-US" w:eastAsia="zh-CN" w:bidi="ar-SA"/>
        </w:rPr>
      </w:pPr>
      <w:r>
        <w:rPr>
          <w:rFonts w:hint="default" w:ascii="Times New Roman" w:hAnsi="Times New Roman" w:eastAsia="宋体" w:cs="Times New Roman"/>
          <w:b w:val="0"/>
          <w:bCs w:val="0"/>
          <w:kern w:val="2"/>
          <w:sz w:val="22"/>
          <w:szCs w:val="22"/>
          <w:lang w:val="en-US" w:eastAsia="zh-CN" w:bidi="ar-SA"/>
        </w:rPr>
        <w:t>The</w:t>
      </w:r>
      <w:r>
        <w:rPr>
          <w:rFonts w:hint="eastAsia" w:ascii="Times New Roman" w:hAnsi="Times New Roman" w:eastAsia="宋体" w:cs="Times New Roman"/>
          <w:b w:val="0"/>
          <w:bCs w:val="0"/>
          <w:kern w:val="2"/>
          <w:sz w:val="22"/>
          <w:szCs w:val="22"/>
          <w:lang w:val="en-US" w:eastAsia="zh-CN" w:bidi="ar-SA"/>
        </w:rPr>
        <w:t xml:space="preserve"> assumption for</w:t>
      </w:r>
      <w:r>
        <w:rPr>
          <w:rFonts w:hint="default" w:ascii="Times New Roman" w:hAnsi="Times New Roman" w:eastAsia="宋体" w:cs="Times New Roman"/>
          <w:b w:val="0"/>
          <w:bCs w:val="0"/>
          <w:kern w:val="2"/>
          <w:sz w:val="22"/>
          <w:szCs w:val="22"/>
          <w:lang w:val="en-US" w:eastAsia="zh-CN" w:bidi="ar-SA"/>
        </w:rPr>
        <w:t xml:space="preserve"> aggressor and victim combinations are listed</w:t>
      </w:r>
      <w:r>
        <w:rPr>
          <w:rFonts w:hint="eastAsia" w:ascii="Times New Roman" w:hAnsi="Times New Roman" w:eastAsia="宋体" w:cs="Times New Roman"/>
          <w:b w:val="0"/>
          <w:bCs w:val="0"/>
          <w:kern w:val="2"/>
          <w:sz w:val="22"/>
          <w:szCs w:val="22"/>
          <w:lang w:val="en-US" w:eastAsia="zh-CN" w:bidi="ar-SA"/>
        </w:rPr>
        <w:t xml:space="preserve"> in Table 6.1-2 within the appendix.</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 Simulation results of Case 1</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 xml:space="preserve">In case 1, TN DL would cause the interference to IoT over NTN DL. The effective ACLR of TN BS and ACS of NTN UE is according to the section 6.3 of TR 36.802[3] in appendix of 6.2.4. Isolation distance of 1500m </w:t>
      </w:r>
      <w:r>
        <w:rPr>
          <w:rFonts w:hint="eastAsia" w:cs="Times New Roman"/>
          <w:kern w:val="2"/>
          <w:sz w:val="22"/>
          <w:szCs w:val="22"/>
          <w:lang w:val="en-US" w:eastAsia="zh-CN" w:bidi="ar-SA"/>
        </w:rPr>
        <w:t xml:space="preserve">for urban macro scenario </w:t>
      </w:r>
      <w:r>
        <w:rPr>
          <w:rFonts w:hint="eastAsia" w:ascii="Times New Roman" w:hAnsi="Times New Roman" w:eastAsia="宋体" w:cs="Times New Roman"/>
          <w:kern w:val="2"/>
          <w:sz w:val="22"/>
          <w:szCs w:val="22"/>
          <w:lang w:val="en-US" w:eastAsia="zh-CN" w:bidi="ar-SA"/>
        </w:rPr>
        <w:t xml:space="preserve">is introduced according to appendix 6.2.1. The simulation results are shown as the following table. </w:t>
      </w:r>
    </w:p>
    <w:tbl>
      <w:tblPr>
        <w:tblStyle w:val="23"/>
        <w:tblW w:w="95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gridCol w:w="1466"/>
        <w:gridCol w:w="806"/>
        <w:gridCol w:w="797"/>
        <w:gridCol w:w="780"/>
        <w:gridCol w:w="780"/>
        <w:gridCol w:w="771"/>
        <w:gridCol w:w="842"/>
        <w:gridCol w:w="721"/>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3" w:type="dxa"/>
            <w:noWrap/>
            <w:vAlign w:val="top"/>
          </w:tcPr>
          <w:p>
            <w:pPr>
              <w:pStyle w:val="33"/>
              <w:rPr>
                <w:rFonts w:hint="default" w:eastAsia="宋体"/>
                <w:lang w:val="en-US" w:eastAsia="zh-CN"/>
              </w:rPr>
            </w:pPr>
            <w:r>
              <w:rPr>
                <w:rFonts w:hint="eastAsia" w:eastAsia="宋体"/>
                <w:lang w:val="en-US" w:eastAsia="zh-CN"/>
              </w:rPr>
              <w:t>Case 1</w:t>
            </w:r>
          </w:p>
        </w:tc>
        <w:tc>
          <w:tcPr>
            <w:tcW w:w="1466" w:type="dxa"/>
            <w:noWrap/>
            <w:vAlign w:val="top"/>
          </w:tcPr>
          <w:p>
            <w:pPr>
              <w:pStyle w:val="33"/>
              <w:rPr>
                <w:rFonts w:eastAsia="宋体"/>
                <w:lang w:eastAsia="ja-JP"/>
              </w:rPr>
            </w:pPr>
            <w:r>
              <w:rPr>
                <w:rFonts w:hint="eastAsia" w:eastAsia="宋体"/>
                <w:lang w:val="en-US" w:eastAsia="zh-CN"/>
              </w:rPr>
              <w:t>ACS</w:t>
            </w:r>
            <w:r>
              <w:rPr>
                <w:rFonts w:hint="eastAsia" w:eastAsia="宋体"/>
                <w:lang w:eastAsia="ja-JP"/>
              </w:rPr>
              <w:t xml:space="preserve"> [dB]</w:t>
            </w:r>
          </w:p>
        </w:tc>
        <w:tc>
          <w:tcPr>
            <w:tcW w:w="806" w:type="dxa"/>
            <w:noWrap/>
            <w:vAlign w:val="bottom"/>
          </w:tcPr>
          <w:p>
            <w:pPr>
              <w:pStyle w:val="33"/>
              <w:rPr>
                <w:rFonts w:hint="eastAsia" w:ascii="Arial" w:hAnsi="Arial" w:eastAsia="宋体" w:cs="Arial"/>
                <w:b w:val="0"/>
                <w:bCs/>
                <w:color w:val="auto"/>
                <w:kern w:val="0"/>
                <w:sz w:val="18"/>
                <w:szCs w:val="20"/>
                <w:lang w:val="en-US" w:eastAsia="zh-CN" w:bidi="ar-SA"/>
              </w:rPr>
            </w:pPr>
            <w:r>
              <w:rPr>
                <w:rFonts w:hint="eastAsia" w:eastAsia="宋体" w:cs="Arial"/>
                <w:b w:val="0"/>
                <w:bCs/>
                <w:color w:val="auto"/>
                <w:kern w:val="0"/>
                <w:sz w:val="18"/>
                <w:szCs w:val="20"/>
                <w:lang w:val="en-US" w:eastAsia="zh-CN" w:bidi="ar-SA"/>
              </w:rPr>
              <w:t>5</w:t>
            </w:r>
          </w:p>
        </w:tc>
        <w:tc>
          <w:tcPr>
            <w:tcW w:w="797"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10</w:t>
            </w:r>
          </w:p>
        </w:tc>
        <w:tc>
          <w:tcPr>
            <w:tcW w:w="780"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15</w:t>
            </w:r>
          </w:p>
        </w:tc>
        <w:tc>
          <w:tcPr>
            <w:tcW w:w="780"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20</w:t>
            </w:r>
          </w:p>
        </w:tc>
        <w:tc>
          <w:tcPr>
            <w:tcW w:w="771"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25</w:t>
            </w:r>
          </w:p>
        </w:tc>
        <w:tc>
          <w:tcPr>
            <w:tcW w:w="842"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30</w:t>
            </w:r>
          </w:p>
        </w:tc>
        <w:tc>
          <w:tcPr>
            <w:tcW w:w="721" w:type="dxa"/>
            <w:noWrap/>
            <w:vAlign w:val="bottom"/>
          </w:tcPr>
          <w:p>
            <w:pPr>
              <w:pStyle w:val="33"/>
              <w:rPr>
                <w:rFonts w:hint="default" w:ascii="Arial" w:hAnsi="Arial" w:eastAsia="宋体" w:cs="Arial"/>
                <w:b w:val="0"/>
                <w:bCs/>
                <w:color w:val="auto"/>
                <w:kern w:val="0"/>
                <w:sz w:val="18"/>
                <w:szCs w:val="20"/>
                <w:highlight w:val="yellow"/>
                <w:lang w:val="en-US" w:eastAsia="ja-JP" w:bidi="ar-SA"/>
              </w:rPr>
            </w:pPr>
            <w:r>
              <w:rPr>
                <w:rFonts w:hint="default" w:ascii="Arial" w:hAnsi="Arial" w:eastAsia="宋体" w:cs="Arial"/>
                <w:b w:val="0"/>
                <w:bCs/>
                <w:color w:val="auto"/>
                <w:highlight w:val="yellow"/>
                <w:lang w:val="en-US" w:eastAsia="zh-CN"/>
              </w:rPr>
              <w:t>35</w:t>
            </w:r>
          </w:p>
        </w:tc>
        <w:tc>
          <w:tcPr>
            <w:tcW w:w="721"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highlight w:val="yellow"/>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TN_AAS_DL</w:t>
            </w:r>
          </w:p>
        </w:tc>
        <w:tc>
          <w:tcPr>
            <w:tcW w:w="1466" w:type="dxa"/>
            <w:noWrap/>
            <w:vAlign w:val="top"/>
          </w:tcPr>
          <w:p>
            <w:pPr>
              <w:pStyle w:val="33"/>
              <w:jc w:val="both"/>
              <w:rPr>
                <w:rFonts w:hint="default" w:eastAsia="宋体"/>
                <w:b w:val="0"/>
                <w:bCs/>
                <w:lang w:val="en-US" w:eastAsia="zh-CN"/>
              </w:rPr>
            </w:pPr>
            <w:r>
              <w:rPr>
                <w:rFonts w:hint="eastAsia" w:eastAsia="宋体"/>
                <w:b w:val="0"/>
                <w:bCs/>
                <w:lang w:val="en-US" w:eastAsia="zh-CN"/>
              </w:rPr>
              <w:t>5% SINR loss</w:t>
            </w:r>
          </w:p>
        </w:tc>
        <w:tc>
          <w:tcPr>
            <w:tcW w:w="806" w:type="dxa"/>
            <w:noWrap/>
            <w:vAlign w:val="bottom"/>
          </w:tcPr>
          <w:p>
            <w:pPr>
              <w:pStyle w:val="33"/>
              <w:rPr>
                <w:rFonts w:hint="default" w:eastAsia="宋体"/>
                <w:b w:val="0"/>
                <w:bCs/>
                <w:lang w:val="en-US" w:eastAsia="ja-JP"/>
              </w:rPr>
            </w:pPr>
            <w:r>
              <w:rPr>
                <w:rFonts w:hint="eastAsia" w:eastAsia="宋体"/>
                <w:b w:val="0"/>
                <w:bCs/>
                <w:lang w:val="en-US" w:eastAsia="zh-CN"/>
              </w:rPr>
              <w:t xml:space="preserve">27.08 </w:t>
            </w:r>
          </w:p>
        </w:tc>
        <w:tc>
          <w:tcPr>
            <w:tcW w:w="797" w:type="dxa"/>
            <w:noWrap/>
            <w:vAlign w:val="bottom"/>
          </w:tcPr>
          <w:p>
            <w:pPr>
              <w:pStyle w:val="33"/>
              <w:rPr>
                <w:rFonts w:hint="default" w:eastAsia="宋体"/>
                <w:b w:val="0"/>
                <w:bCs/>
                <w:lang w:val="en-US" w:eastAsia="ja-JP"/>
              </w:rPr>
            </w:pPr>
            <w:r>
              <w:rPr>
                <w:rFonts w:hint="eastAsia" w:eastAsia="宋体"/>
                <w:b w:val="0"/>
                <w:bCs/>
                <w:lang w:val="en-US" w:eastAsia="zh-CN"/>
              </w:rPr>
              <w:t xml:space="preserve">22.09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17.12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12.24 </w:t>
            </w:r>
          </w:p>
        </w:tc>
        <w:tc>
          <w:tcPr>
            <w:tcW w:w="771" w:type="dxa"/>
            <w:noWrap/>
            <w:vAlign w:val="bottom"/>
          </w:tcPr>
          <w:p>
            <w:pPr>
              <w:pStyle w:val="33"/>
              <w:rPr>
                <w:rFonts w:hint="default" w:eastAsia="宋体"/>
                <w:b w:val="0"/>
                <w:bCs/>
                <w:lang w:val="en-US" w:eastAsia="ja-JP"/>
              </w:rPr>
            </w:pPr>
            <w:r>
              <w:rPr>
                <w:rFonts w:hint="eastAsia" w:eastAsia="宋体"/>
                <w:b w:val="0"/>
                <w:bCs/>
                <w:lang w:val="en-US" w:eastAsia="zh-CN"/>
              </w:rPr>
              <w:t xml:space="preserve">7.66 </w:t>
            </w:r>
          </w:p>
        </w:tc>
        <w:tc>
          <w:tcPr>
            <w:tcW w:w="842" w:type="dxa"/>
            <w:noWrap/>
            <w:vAlign w:val="bottom"/>
          </w:tcPr>
          <w:p>
            <w:pPr>
              <w:pStyle w:val="33"/>
              <w:rPr>
                <w:rFonts w:hint="default" w:eastAsia="宋体"/>
                <w:b w:val="0"/>
                <w:bCs/>
                <w:lang w:val="en-US" w:eastAsia="ja-JP"/>
              </w:rPr>
            </w:pPr>
            <w:r>
              <w:rPr>
                <w:rFonts w:hint="eastAsia" w:eastAsia="宋体"/>
                <w:b w:val="0"/>
                <w:bCs/>
                <w:lang w:val="en-US" w:eastAsia="zh-CN"/>
              </w:rPr>
              <w:t xml:space="preserve">3.95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1.76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jc w:val="both"/>
              <w:rPr>
                <w:rFonts w:hint="default" w:eastAsia="宋体"/>
                <w:b w:val="0"/>
                <w:bCs/>
                <w:lang w:val="en-US" w:eastAsia="zh-CN"/>
              </w:rPr>
            </w:pPr>
            <w:r>
              <w:rPr>
                <w:rFonts w:hint="eastAsia" w:eastAsia="宋体"/>
                <w:b w:val="0"/>
                <w:bCs/>
                <w:lang w:val="en-US" w:eastAsia="zh-CN"/>
              </w:rPr>
              <w:t>50%SINR loss</w:t>
            </w:r>
          </w:p>
        </w:tc>
        <w:tc>
          <w:tcPr>
            <w:tcW w:w="806" w:type="dxa"/>
            <w:noWrap/>
            <w:vAlign w:val="bottom"/>
          </w:tcPr>
          <w:p>
            <w:pPr>
              <w:pStyle w:val="33"/>
              <w:rPr>
                <w:rFonts w:hint="default" w:eastAsia="宋体"/>
                <w:b w:val="0"/>
                <w:bCs/>
                <w:lang w:val="en-US" w:eastAsia="ja-JP"/>
              </w:rPr>
            </w:pPr>
            <w:r>
              <w:rPr>
                <w:rFonts w:hint="eastAsia" w:eastAsia="宋体"/>
                <w:b w:val="0"/>
                <w:bCs/>
                <w:lang w:val="en-US" w:eastAsia="zh-CN"/>
              </w:rPr>
              <w:t xml:space="preserve">17.80 </w:t>
            </w:r>
          </w:p>
        </w:tc>
        <w:tc>
          <w:tcPr>
            <w:tcW w:w="797" w:type="dxa"/>
            <w:noWrap/>
            <w:vAlign w:val="bottom"/>
          </w:tcPr>
          <w:p>
            <w:pPr>
              <w:pStyle w:val="33"/>
              <w:rPr>
                <w:rFonts w:hint="default" w:eastAsia="宋体"/>
                <w:b w:val="0"/>
                <w:bCs/>
                <w:lang w:val="en-US" w:eastAsia="ja-JP"/>
              </w:rPr>
            </w:pPr>
            <w:r>
              <w:rPr>
                <w:rFonts w:hint="eastAsia" w:eastAsia="宋体"/>
                <w:b w:val="0"/>
                <w:bCs/>
                <w:lang w:val="en-US" w:eastAsia="zh-CN"/>
              </w:rPr>
              <w:t xml:space="preserve">12.97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8.44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4.69 </w:t>
            </w:r>
          </w:p>
        </w:tc>
        <w:tc>
          <w:tcPr>
            <w:tcW w:w="771" w:type="dxa"/>
            <w:noWrap/>
            <w:vAlign w:val="bottom"/>
          </w:tcPr>
          <w:p>
            <w:pPr>
              <w:pStyle w:val="33"/>
              <w:rPr>
                <w:rFonts w:hint="default" w:eastAsia="宋体"/>
                <w:b w:val="0"/>
                <w:bCs/>
                <w:lang w:val="en-US" w:eastAsia="ja-JP"/>
              </w:rPr>
            </w:pPr>
            <w:r>
              <w:rPr>
                <w:rFonts w:hint="eastAsia" w:eastAsia="宋体"/>
                <w:b w:val="0"/>
                <w:bCs/>
                <w:lang w:val="en-US" w:eastAsia="zh-CN"/>
              </w:rPr>
              <w:t xml:space="preserve">2.27 </w:t>
            </w:r>
          </w:p>
        </w:tc>
        <w:tc>
          <w:tcPr>
            <w:tcW w:w="842" w:type="dxa"/>
            <w:noWrap/>
            <w:vAlign w:val="bottom"/>
          </w:tcPr>
          <w:p>
            <w:pPr>
              <w:pStyle w:val="33"/>
              <w:rPr>
                <w:rFonts w:hint="default" w:eastAsia="宋体"/>
                <w:b w:val="0"/>
                <w:bCs/>
                <w:lang w:val="en-US" w:eastAsia="ja-JP"/>
              </w:rPr>
            </w:pPr>
            <w:r>
              <w:rPr>
                <w:rFonts w:hint="eastAsia" w:eastAsia="宋体"/>
                <w:b w:val="0"/>
                <w:bCs/>
                <w:lang w:val="en-US" w:eastAsia="zh-CN"/>
              </w:rPr>
              <w:t xml:space="preserve">1.06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0.50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06" w:type="dxa"/>
            <w:noWrap/>
            <w:vAlign w:val="bottom"/>
          </w:tcPr>
          <w:p>
            <w:pPr>
              <w:pStyle w:val="33"/>
              <w:rPr>
                <w:rFonts w:hint="default" w:eastAsia="宋体"/>
                <w:b w:val="0"/>
                <w:bCs/>
                <w:lang w:val="en-US" w:eastAsia="ja-JP"/>
              </w:rPr>
            </w:pPr>
            <w:r>
              <w:rPr>
                <w:rFonts w:hint="eastAsia" w:eastAsia="宋体"/>
                <w:b w:val="0"/>
                <w:bCs/>
                <w:lang w:val="en-US" w:eastAsia="zh-CN"/>
              </w:rPr>
              <w:t xml:space="preserve">11.11 </w:t>
            </w:r>
          </w:p>
        </w:tc>
        <w:tc>
          <w:tcPr>
            <w:tcW w:w="797" w:type="dxa"/>
            <w:noWrap/>
            <w:vAlign w:val="bottom"/>
          </w:tcPr>
          <w:p>
            <w:pPr>
              <w:pStyle w:val="33"/>
              <w:rPr>
                <w:rFonts w:hint="default" w:eastAsia="宋体"/>
                <w:b w:val="0"/>
                <w:bCs/>
                <w:lang w:val="en-US" w:eastAsia="ja-JP"/>
              </w:rPr>
            </w:pPr>
            <w:r>
              <w:rPr>
                <w:rFonts w:hint="eastAsia" w:eastAsia="宋体"/>
                <w:b w:val="0"/>
                <w:bCs/>
                <w:lang w:val="en-US" w:eastAsia="zh-CN"/>
              </w:rPr>
              <w:t xml:space="preserve">7.13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4.29 </w:t>
            </w:r>
          </w:p>
        </w:tc>
        <w:tc>
          <w:tcPr>
            <w:tcW w:w="780" w:type="dxa"/>
            <w:noWrap/>
            <w:vAlign w:val="bottom"/>
          </w:tcPr>
          <w:p>
            <w:pPr>
              <w:pStyle w:val="33"/>
              <w:rPr>
                <w:rFonts w:hint="default" w:eastAsia="宋体"/>
                <w:b w:val="0"/>
                <w:bCs/>
                <w:lang w:val="en-US" w:eastAsia="ja-JP"/>
              </w:rPr>
            </w:pPr>
            <w:r>
              <w:rPr>
                <w:rFonts w:hint="eastAsia" w:eastAsia="宋体"/>
                <w:b w:val="0"/>
                <w:bCs/>
                <w:lang w:val="en-US" w:eastAsia="zh-CN"/>
              </w:rPr>
              <w:t xml:space="preserve">2.40 </w:t>
            </w:r>
          </w:p>
        </w:tc>
        <w:tc>
          <w:tcPr>
            <w:tcW w:w="771" w:type="dxa"/>
            <w:noWrap/>
            <w:vAlign w:val="bottom"/>
          </w:tcPr>
          <w:p>
            <w:pPr>
              <w:pStyle w:val="33"/>
              <w:rPr>
                <w:rFonts w:hint="default" w:eastAsia="宋体"/>
                <w:b w:val="0"/>
                <w:bCs/>
                <w:lang w:val="en-US" w:eastAsia="ja-JP"/>
              </w:rPr>
            </w:pPr>
            <w:r>
              <w:rPr>
                <w:rFonts w:hint="eastAsia" w:eastAsia="宋体"/>
                <w:b w:val="0"/>
                <w:bCs/>
                <w:lang w:val="en-US" w:eastAsia="zh-CN"/>
              </w:rPr>
              <w:t xml:space="preserve">1.23 </w:t>
            </w:r>
          </w:p>
        </w:tc>
        <w:tc>
          <w:tcPr>
            <w:tcW w:w="842" w:type="dxa"/>
            <w:noWrap/>
            <w:vAlign w:val="bottom"/>
          </w:tcPr>
          <w:p>
            <w:pPr>
              <w:pStyle w:val="33"/>
              <w:rPr>
                <w:rFonts w:hint="default" w:eastAsia="宋体"/>
                <w:b w:val="0"/>
                <w:bCs/>
                <w:lang w:val="en-US" w:eastAsia="ja-JP"/>
              </w:rPr>
            </w:pPr>
            <w:r>
              <w:rPr>
                <w:rFonts w:hint="eastAsia" w:eastAsia="宋体"/>
                <w:b w:val="0"/>
                <w:bCs/>
                <w:lang w:val="en-US" w:eastAsia="zh-CN"/>
              </w:rPr>
              <w:t xml:space="preserve">0.59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0.27 </w:t>
            </w:r>
          </w:p>
        </w:tc>
        <w:tc>
          <w:tcPr>
            <w:tcW w:w="721"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TN_non_AAS_DL</w:t>
            </w:r>
          </w:p>
        </w:tc>
        <w:tc>
          <w:tcPr>
            <w:tcW w:w="1466"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806" w:type="dxa"/>
            <w:noWrap/>
            <w:vAlign w:val="bottom"/>
          </w:tcPr>
          <w:p>
            <w:pPr>
              <w:pStyle w:val="33"/>
              <w:rPr>
                <w:rFonts w:hint="default" w:eastAsia="宋体"/>
                <w:b w:val="0"/>
                <w:bCs/>
                <w:lang w:val="en-US" w:eastAsia="zh-CN"/>
              </w:rPr>
            </w:pPr>
            <w:r>
              <w:rPr>
                <w:rFonts w:hint="eastAsia" w:eastAsia="宋体"/>
                <w:b w:val="0"/>
                <w:bCs/>
                <w:lang w:val="en-US" w:eastAsia="zh-CN"/>
              </w:rPr>
              <w:t xml:space="preserve">27.09 </w:t>
            </w:r>
          </w:p>
        </w:tc>
        <w:tc>
          <w:tcPr>
            <w:tcW w:w="797" w:type="dxa"/>
            <w:noWrap/>
            <w:vAlign w:val="bottom"/>
          </w:tcPr>
          <w:p>
            <w:pPr>
              <w:pStyle w:val="33"/>
              <w:rPr>
                <w:rFonts w:hint="default" w:eastAsia="宋体"/>
                <w:b w:val="0"/>
                <w:bCs/>
                <w:lang w:val="en-US" w:eastAsia="zh-CN"/>
              </w:rPr>
            </w:pPr>
            <w:r>
              <w:rPr>
                <w:rFonts w:hint="eastAsia" w:eastAsia="宋体"/>
                <w:b w:val="0"/>
                <w:bCs/>
                <w:lang w:val="en-US" w:eastAsia="zh-CN"/>
              </w:rPr>
              <w:t xml:space="preserve">22.10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17.18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12.27 </w:t>
            </w:r>
          </w:p>
        </w:tc>
        <w:tc>
          <w:tcPr>
            <w:tcW w:w="771" w:type="dxa"/>
            <w:noWrap/>
            <w:vAlign w:val="bottom"/>
          </w:tcPr>
          <w:p>
            <w:pPr>
              <w:pStyle w:val="33"/>
              <w:rPr>
                <w:rFonts w:hint="default" w:eastAsia="宋体"/>
                <w:b w:val="0"/>
                <w:bCs/>
                <w:lang w:val="en-US" w:eastAsia="zh-CN"/>
              </w:rPr>
            </w:pPr>
            <w:r>
              <w:rPr>
                <w:rFonts w:hint="eastAsia" w:eastAsia="宋体"/>
                <w:b w:val="0"/>
                <w:bCs/>
                <w:lang w:val="en-US" w:eastAsia="zh-CN"/>
              </w:rPr>
              <w:t xml:space="preserve">7.80 </w:t>
            </w:r>
          </w:p>
        </w:tc>
        <w:tc>
          <w:tcPr>
            <w:tcW w:w="842" w:type="dxa"/>
            <w:noWrap/>
            <w:vAlign w:val="bottom"/>
          </w:tcPr>
          <w:p>
            <w:pPr>
              <w:pStyle w:val="33"/>
              <w:rPr>
                <w:rFonts w:hint="default" w:eastAsia="宋体"/>
                <w:b w:val="0"/>
                <w:bCs/>
                <w:lang w:val="en-US" w:eastAsia="zh-CN"/>
              </w:rPr>
            </w:pPr>
            <w:r>
              <w:rPr>
                <w:rFonts w:hint="eastAsia" w:eastAsia="宋体"/>
                <w:b w:val="0"/>
                <w:bCs/>
                <w:lang w:val="en-US" w:eastAsia="zh-CN"/>
              </w:rPr>
              <w:t xml:space="preserve">4.14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1.92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806" w:type="dxa"/>
            <w:noWrap/>
            <w:vAlign w:val="bottom"/>
          </w:tcPr>
          <w:p>
            <w:pPr>
              <w:pStyle w:val="33"/>
              <w:rPr>
                <w:rFonts w:hint="default" w:eastAsia="宋体"/>
                <w:b w:val="0"/>
                <w:bCs/>
                <w:lang w:val="en-US" w:eastAsia="zh-CN"/>
              </w:rPr>
            </w:pPr>
            <w:r>
              <w:rPr>
                <w:rFonts w:hint="eastAsia" w:eastAsia="宋体"/>
                <w:b w:val="0"/>
                <w:bCs/>
                <w:lang w:val="en-US" w:eastAsia="zh-CN"/>
              </w:rPr>
              <w:t xml:space="preserve">19.02 </w:t>
            </w:r>
          </w:p>
        </w:tc>
        <w:tc>
          <w:tcPr>
            <w:tcW w:w="797" w:type="dxa"/>
            <w:noWrap/>
            <w:vAlign w:val="bottom"/>
          </w:tcPr>
          <w:p>
            <w:pPr>
              <w:pStyle w:val="33"/>
              <w:rPr>
                <w:rFonts w:hint="default" w:eastAsia="宋体"/>
                <w:b w:val="0"/>
                <w:bCs/>
                <w:lang w:val="en-US" w:eastAsia="zh-CN"/>
              </w:rPr>
            </w:pPr>
            <w:r>
              <w:rPr>
                <w:rFonts w:hint="eastAsia" w:eastAsia="宋体"/>
                <w:b w:val="0"/>
                <w:bCs/>
                <w:lang w:val="en-US" w:eastAsia="zh-CN"/>
              </w:rPr>
              <w:t xml:space="preserve">14.14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9.49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5.46 </w:t>
            </w:r>
          </w:p>
        </w:tc>
        <w:tc>
          <w:tcPr>
            <w:tcW w:w="771" w:type="dxa"/>
            <w:noWrap/>
            <w:vAlign w:val="bottom"/>
          </w:tcPr>
          <w:p>
            <w:pPr>
              <w:pStyle w:val="33"/>
              <w:rPr>
                <w:rFonts w:hint="default" w:eastAsia="宋体"/>
                <w:b w:val="0"/>
                <w:bCs/>
                <w:lang w:val="en-US" w:eastAsia="zh-CN"/>
              </w:rPr>
            </w:pPr>
            <w:r>
              <w:rPr>
                <w:rFonts w:hint="eastAsia" w:eastAsia="宋体"/>
                <w:b w:val="0"/>
                <w:bCs/>
                <w:lang w:val="en-US" w:eastAsia="zh-CN"/>
              </w:rPr>
              <w:t xml:space="preserve">2.62 </w:t>
            </w:r>
          </w:p>
        </w:tc>
        <w:tc>
          <w:tcPr>
            <w:tcW w:w="842" w:type="dxa"/>
            <w:noWrap/>
            <w:vAlign w:val="bottom"/>
          </w:tcPr>
          <w:p>
            <w:pPr>
              <w:pStyle w:val="33"/>
              <w:rPr>
                <w:rFonts w:hint="default" w:eastAsia="宋体"/>
                <w:b w:val="0"/>
                <w:bCs/>
                <w:lang w:val="en-US" w:eastAsia="zh-CN"/>
              </w:rPr>
            </w:pPr>
            <w:r>
              <w:rPr>
                <w:rFonts w:hint="eastAsia" w:eastAsia="宋体"/>
                <w:b w:val="0"/>
                <w:bCs/>
                <w:lang w:val="en-US" w:eastAsia="zh-CN"/>
              </w:rPr>
              <w:t xml:space="preserve">1.13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0.49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06" w:type="dxa"/>
            <w:noWrap/>
            <w:vAlign w:val="bottom"/>
          </w:tcPr>
          <w:p>
            <w:pPr>
              <w:pStyle w:val="33"/>
              <w:rPr>
                <w:rFonts w:hint="default" w:eastAsia="宋体"/>
                <w:b w:val="0"/>
                <w:bCs/>
                <w:lang w:val="en-US" w:eastAsia="zh-CN"/>
              </w:rPr>
            </w:pPr>
            <w:r>
              <w:rPr>
                <w:rFonts w:hint="eastAsia" w:eastAsia="宋体"/>
                <w:b w:val="0"/>
                <w:bCs/>
                <w:lang w:val="en-US" w:eastAsia="zh-CN"/>
              </w:rPr>
              <w:t xml:space="preserve">14.22 </w:t>
            </w:r>
          </w:p>
        </w:tc>
        <w:tc>
          <w:tcPr>
            <w:tcW w:w="797" w:type="dxa"/>
            <w:noWrap/>
            <w:vAlign w:val="bottom"/>
          </w:tcPr>
          <w:p>
            <w:pPr>
              <w:pStyle w:val="33"/>
              <w:rPr>
                <w:rFonts w:hint="default" w:eastAsia="宋体"/>
                <w:b w:val="0"/>
                <w:bCs/>
                <w:lang w:val="en-US" w:eastAsia="zh-CN"/>
              </w:rPr>
            </w:pPr>
            <w:r>
              <w:rPr>
                <w:rFonts w:hint="eastAsia" w:eastAsia="宋体"/>
                <w:b w:val="0"/>
                <w:bCs/>
                <w:lang w:val="en-US" w:eastAsia="zh-CN"/>
              </w:rPr>
              <w:t xml:space="preserve">9.67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5.90 </w:t>
            </w:r>
          </w:p>
        </w:tc>
        <w:tc>
          <w:tcPr>
            <w:tcW w:w="780" w:type="dxa"/>
            <w:noWrap/>
            <w:vAlign w:val="bottom"/>
          </w:tcPr>
          <w:p>
            <w:pPr>
              <w:pStyle w:val="33"/>
              <w:rPr>
                <w:rFonts w:hint="default" w:eastAsia="宋体"/>
                <w:b w:val="0"/>
                <w:bCs/>
                <w:lang w:val="en-US" w:eastAsia="zh-CN"/>
              </w:rPr>
            </w:pPr>
            <w:r>
              <w:rPr>
                <w:rFonts w:hint="eastAsia" w:eastAsia="宋体"/>
                <w:b w:val="0"/>
                <w:bCs/>
                <w:lang w:val="en-US" w:eastAsia="zh-CN"/>
              </w:rPr>
              <w:t xml:space="preserve">3.23 </w:t>
            </w:r>
          </w:p>
        </w:tc>
        <w:tc>
          <w:tcPr>
            <w:tcW w:w="771" w:type="dxa"/>
            <w:noWrap/>
            <w:vAlign w:val="bottom"/>
          </w:tcPr>
          <w:p>
            <w:pPr>
              <w:pStyle w:val="33"/>
              <w:rPr>
                <w:rFonts w:hint="default" w:eastAsia="宋体"/>
                <w:b w:val="0"/>
                <w:bCs/>
                <w:lang w:val="en-US" w:eastAsia="zh-CN"/>
              </w:rPr>
            </w:pPr>
            <w:r>
              <w:rPr>
                <w:rFonts w:hint="eastAsia" w:eastAsia="宋体"/>
                <w:b w:val="0"/>
                <w:bCs/>
                <w:lang w:val="en-US" w:eastAsia="zh-CN"/>
              </w:rPr>
              <w:t xml:space="preserve">1.61 </w:t>
            </w:r>
          </w:p>
        </w:tc>
        <w:tc>
          <w:tcPr>
            <w:tcW w:w="842" w:type="dxa"/>
            <w:noWrap/>
            <w:vAlign w:val="bottom"/>
          </w:tcPr>
          <w:p>
            <w:pPr>
              <w:pStyle w:val="33"/>
              <w:rPr>
                <w:rFonts w:hint="default" w:eastAsia="宋体"/>
                <w:b w:val="0"/>
                <w:bCs/>
                <w:lang w:val="en-US" w:eastAsia="zh-CN"/>
              </w:rPr>
            </w:pPr>
            <w:r>
              <w:rPr>
                <w:rFonts w:hint="eastAsia" w:eastAsia="宋体"/>
                <w:b w:val="0"/>
                <w:bCs/>
                <w:lang w:val="en-US" w:eastAsia="zh-CN"/>
              </w:rPr>
              <w:t xml:space="preserve">0.71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0.31 </w:t>
            </w:r>
          </w:p>
        </w:tc>
        <w:tc>
          <w:tcPr>
            <w:tcW w:w="721"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0.14 </w:t>
            </w:r>
          </w:p>
        </w:tc>
      </w:tr>
    </w:tbl>
    <w:p>
      <w:pPr>
        <w:spacing w:beforeLines="0" w:afterLines="0"/>
        <w:jc w:val="left"/>
        <w:rPr>
          <w:rFonts w:hint="default"/>
          <w:sz w:val="24"/>
        </w:rPr>
      </w:pPr>
      <w:r>
        <w:rPr>
          <w:rFonts w:hint="default"/>
          <w:lang w:val="en-US" w:eastAsia="zh-CN"/>
        </w:rPr>
        <w:t xml:space="preserve"> </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 Simulation results of Case 2</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2, </w:t>
      </w:r>
      <w:r>
        <w:rPr>
          <w:rFonts w:hint="default" w:ascii="Times New Roman" w:hAnsi="Times New Roman" w:eastAsia="宋体" w:cs="Times New Roman"/>
          <w:b w:val="0"/>
          <w:bCs w:val="0"/>
          <w:kern w:val="2"/>
          <w:sz w:val="21"/>
          <w:szCs w:val="21"/>
          <w:highlight w:val="none"/>
          <w:lang w:val="en-US" w:eastAsia="zh-CN" w:bidi="ar-SA"/>
        </w:rPr>
        <w:t>TN UL</w:t>
      </w:r>
      <w:r>
        <w:rPr>
          <w:rFonts w:hint="eastAsia" w:cs="Times New Roman"/>
          <w:b w:val="0"/>
          <w:bCs w:val="0"/>
          <w:kern w:val="2"/>
          <w:sz w:val="21"/>
          <w:szCs w:val="21"/>
          <w:highlight w:val="none"/>
          <w:lang w:val="en-US" w:eastAsia="zh-CN" w:bidi="ar-SA"/>
        </w:rPr>
        <w:t xml:space="preserve"> would cause the</w:t>
      </w:r>
      <w:r>
        <w:rPr>
          <w:rFonts w:hint="default" w:ascii="Times New Roman" w:hAnsi="Times New Roman" w:eastAsia="宋体" w:cs="Times New Roman"/>
          <w:b w:val="0"/>
          <w:bCs w:val="0"/>
          <w:kern w:val="2"/>
          <w:sz w:val="21"/>
          <w:szCs w:val="21"/>
          <w:highlight w:val="none"/>
          <w:lang w:val="en-US" w:eastAsia="zh-CN" w:bidi="ar-SA"/>
        </w:rPr>
        <w:t xml:space="preserve"> interfere</w:t>
      </w:r>
      <w:r>
        <w:rPr>
          <w:rFonts w:hint="eastAsia" w:cs="Times New Roman"/>
          <w:b w:val="0"/>
          <w:bCs w:val="0"/>
          <w:kern w:val="2"/>
          <w:sz w:val="21"/>
          <w:szCs w:val="21"/>
          <w:highlight w:val="none"/>
          <w:lang w:val="en-US" w:eastAsia="zh-CN" w:bidi="ar-SA"/>
        </w:rPr>
        <w:t>nce to</w:t>
      </w:r>
      <w:r>
        <w:rPr>
          <w:rFonts w:hint="default" w:ascii="Times New Roman" w:hAnsi="Times New Roman" w:eastAsia="宋体" w:cs="Times New Roman"/>
          <w:b w:val="0"/>
          <w:bCs w:val="0"/>
          <w:kern w:val="2"/>
          <w:sz w:val="21"/>
          <w:szCs w:val="21"/>
          <w:highlight w:val="none"/>
          <w:lang w:val="en-US" w:eastAsia="zh-CN" w:bidi="ar-SA"/>
        </w:rPr>
        <w:t xml:space="preserve"> NTN </w:t>
      </w:r>
      <w:r>
        <w:rPr>
          <w:rFonts w:hint="eastAsia" w:cs="Times New Roman"/>
          <w:b w:val="0"/>
          <w:bCs w:val="0"/>
          <w:kern w:val="2"/>
          <w:sz w:val="21"/>
          <w:szCs w:val="21"/>
          <w:highlight w:val="none"/>
          <w:lang w:val="en-US" w:eastAsia="zh-CN" w:bidi="ar-SA"/>
        </w:rPr>
        <w:t>UL</w:t>
      </w:r>
      <w:r>
        <w:rPr>
          <w:rFonts w:hint="default" w:ascii="Times New Roman" w:hAnsi="Times New Roman" w:eastAsia="宋体" w:cs="Times New Roman"/>
          <w:b w:val="0"/>
          <w:bCs w:val="0"/>
          <w:kern w:val="2"/>
          <w:sz w:val="21"/>
          <w:szCs w:val="21"/>
          <w:highlight w:val="none"/>
          <w:lang w:val="en-US" w:eastAsia="zh-CN" w:bidi="ar-SA"/>
        </w:rPr>
        <w:t xml:space="preserve"> when NTN SAN receives UL transmission from </w:t>
      </w:r>
      <w:r>
        <w:rPr>
          <w:rFonts w:hint="eastAsia" w:ascii="Times New Roman" w:hAnsi="Times New Roman" w:eastAsia="宋体" w:cs="Times New Roman"/>
          <w:b w:val="0"/>
          <w:bCs w:val="0"/>
          <w:kern w:val="2"/>
          <w:sz w:val="21"/>
          <w:szCs w:val="21"/>
          <w:highlight w:val="none"/>
          <w:lang w:val="en-US" w:eastAsia="zh-CN" w:bidi="ar-SA"/>
        </w:rPr>
        <w:t xml:space="preserve">IoT over </w:t>
      </w:r>
      <w:r>
        <w:rPr>
          <w:rFonts w:hint="default" w:ascii="Times New Roman" w:hAnsi="Times New Roman" w:eastAsia="宋体" w:cs="Times New Roman"/>
          <w:b w:val="0"/>
          <w:bCs w:val="0"/>
          <w:kern w:val="2"/>
          <w:sz w:val="21"/>
          <w:szCs w:val="21"/>
          <w:highlight w:val="none"/>
          <w:lang w:val="en-US" w:eastAsia="zh-CN" w:bidi="ar-SA"/>
        </w:rPr>
        <w:t xml:space="preserve">NTN UE. </w:t>
      </w:r>
      <w:r>
        <w:rPr>
          <w:rFonts w:hint="eastAsia" w:ascii="Times New Roman" w:hAnsi="Times New Roman" w:eastAsia="宋体" w:cs="Times New Roman"/>
          <w:b w:val="0"/>
          <w:bCs w:val="0"/>
          <w:kern w:val="2"/>
          <w:sz w:val="21"/>
          <w:szCs w:val="21"/>
          <w:highlight w:val="none"/>
          <w:lang w:val="en-US" w:eastAsia="zh-CN" w:bidi="ar-SA"/>
        </w:rPr>
        <w:t xml:space="preserve">The effective ACLR of TN UE </w:t>
      </w:r>
      <w:r>
        <w:rPr>
          <w:rFonts w:hint="eastAsia" w:cs="Times New Roman"/>
          <w:b w:val="0"/>
          <w:bCs w:val="0"/>
          <w:kern w:val="2"/>
          <w:sz w:val="21"/>
          <w:szCs w:val="21"/>
          <w:highlight w:val="none"/>
          <w:lang w:val="en-US" w:eastAsia="zh-CN" w:bidi="ar-SA"/>
        </w:rPr>
        <w:t>is</w:t>
      </w:r>
      <w:r>
        <w:rPr>
          <w:rFonts w:hint="eastAsia" w:ascii="Times New Roman" w:hAnsi="Times New Roman" w:eastAsia="宋体" w:cs="Times New Roman"/>
          <w:b w:val="0"/>
          <w:bCs w:val="0"/>
          <w:kern w:val="2"/>
          <w:sz w:val="21"/>
          <w:szCs w:val="21"/>
          <w:highlight w:val="none"/>
          <w:lang w:val="en-US" w:eastAsia="zh-CN" w:bidi="ar-SA"/>
        </w:rPr>
        <w:t xml:space="preserve">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w:t>
      </w:r>
      <w:r>
        <w:rPr>
          <w:rFonts w:hint="eastAsia" w:cs="Times New Roman"/>
          <w:b w:val="0"/>
          <w:bCs w:val="0"/>
          <w:kern w:val="2"/>
          <w:sz w:val="21"/>
          <w:szCs w:val="21"/>
          <w:highlight w:val="none"/>
          <w:lang w:val="en-US" w:eastAsia="zh-CN" w:bidi="ar-SA"/>
        </w:rPr>
        <w:t>s are</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to be provided later.</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463"/>
        <w:gridCol w:w="793"/>
        <w:gridCol w:w="784"/>
        <w:gridCol w:w="784"/>
        <w:gridCol w:w="784"/>
        <w:gridCol w:w="784"/>
        <w:gridCol w:w="784"/>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noWrap/>
            <w:vAlign w:val="top"/>
          </w:tcPr>
          <w:p>
            <w:pPr>
              <w:pStyle w:val="33"/>
              <w:rPr>
                <w:rFonts w:hint="default" w:eastAsia="宋体"/>
                <w:lang w:val="en-US" w:eastAsia="zh-CN"/>
              </w:rPr>
            </w:pPr>
            <w:r>
              <w:rPr>
                <w:rFonts w:hint="eastAsia" w:eastAsia="宋体"/>
                <w:lang w:val="en-US" w:eastAsia="zh-CN"/>
              </w:rPr>
              <w:t>Case 2: Multiple tone</w:t>
            </w:r>
          </w:p>
        </w:tc>
        <w:tc>
          <w:tcPr>
            <w:tcW w:w="1463" w:type="dxa"/>
            <w:noWrap/>
            <w:vAlign w:val="top"/>
          </w:tcPr>
          <w:p>
            <w:pPr>
              <w:pStyle w:val="33"/>
              <w:rPr>
                <w:rFonts w:eastAsia="宋体"/>
                <w:lang w:eastAsia="ja-JP"/>
              </w:rPr>
            </w:pPr>
            <w:r>
              <w:rPr>
                <w:rFonts w:hint="eastAsia" w:eastAsia="宋体"/>
                <w:lang w:val="en-US" w:eastAsia="zh-CN"/>
              </w:rPr>
              <w:t xml:space="preserve">ACS </w:t>
            </w:r>
            <w:r>
              <w:rPr>
                <w:rFonts w:hint="eastAsia" w:eastAsia="宋体"/>
                <w:lang w:eastAsia="ja-JP"/>
              </w:rPr>
              <w:t>[dB]</w:t>
            </w:r>
          </w:p>
        </w:tc>
        <w:tc>
          <w:tcPr>
            <w:tcW w:w="793"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784"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MS PGothic" w:cs="Arial"/>
                <w:color w:val="auto"/>
                <w:sz w:val="18"/>
                <w:szCs w:val="18"/>
                <w:highlight w:val="yellow"/>
                <w:lang w:val="en-US" w:eastAsia="ja-JP"/>
              </w:rPr>
              <w:t>40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45</w:t>
            </w:r>
          </w:p>
        </w:tc>
        <w:tc>
          <w:tcPr>
            <w:tcW w:w="786"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cs="Arial"/>
                <w:color w:val="auto"/>
                <w:sz w:val="18"/>
                <w:szCs w:val="18"/>
                <w:highlight w:val="none"/>
                <w:lang w:val="en-US" w:eastAsia="zh-CN"/>
              </w:rPr>
              <w:t>50</w:t>
            </w:r>
          </w:p>
        </w:tc>
        <w:tc>
          <w:tcPr>
            <w:tcW w:w="786"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cs="Arial"/>
                <w:color w:val="auto"/>
                <w:sz w:val="18"/>
                <w:szCs w:val="18"/>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15.25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10.58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6.20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2.77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0.97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0.24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0.09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15.40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10.65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6.44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3.21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ja-JP" w:bidi="ar"/>
              </w:rPr>
            </w:pPr>
            <w:r>
              <w:rPr>
                <w:rFonts w:hint="eastAsia" w:ascii="Arial" w:hAnsi="Arial" w:eastAsia="宋体" w:cs="Arial"/>
                <w:i w:val="0"/>
                <w:color w:val="000000"/>
                <w:kern w:val="0"/>
                <w:sz w:val="18"/>
                <w:szCs w:val="18"/>
                <w:highlight w:val="yellow"/>
                <w:u w:val="none"/>
                <w:lang w:val="en-US" w:eastAsia="zh-CN" w:bidi="ar"/>
              </w:rPr>
              <w:t xml:space="preserve">1.29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0.50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0.18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0.09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16.19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11.64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7.32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3.80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ja-JP" w:bidi="ar"/>
              </w:rPr>
            </w:pPr>
            <w:r>
              <w:rPr>
                <w:rFonts w:hint="eastAsia" w:ascii="Arial" w:hAnsi="Arial" w:eastAsia="宋体" w:cs="Arial"/>
                <w:i w:val="0"/>
                <w:color w:val="000000"/>
                <w:kern w:val="0"/>
                <w:sz w:val="18"/>
                <w:szCs w:val="18"/>
                <w:highlight w:val="yellow"/>
                <w:u w:val="none"/>
                <w:lang w:val="en-US" w:eastAsia="zh-CN" w:bidi="ar"/>
              </w:rPr>
              <w:t xml:space="preserve">1.66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0.62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0.19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1"/>
          <w:szCs w:val="21"/>
          <w:highlight w:val="none"/>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463"/>
        <w:gridCol w:w="793"/>
        <w:gridCol w:w="784"/>
        <w:gridCol w:w="784"/>
        <w:gridCol w:w="784"/>
        <w:gridCol w:w="784"/>
        <w:gridCol w:w="784"/>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noWrap/>
            <w:vAlign w:val="top"/>
          </w:tcPr>
          <w:p>
            <w:pPr>
              <w:pStyle w:val="33"/>
              <w:rPr>
                <w:rFonts w:hint="default" w:eastAsia="宋体"/>
                <w:lang w:val="en-US" w:eastAsia="zh-CN"/>
              </w:rPr>
            </w:pPr>
            <w:r>
              <w:rPr>
                <w:rFonts w:hint="eastAsia" w:eastAsia="宋体"/>
                <w:lang w:val="en-US" w:eastAsia="zh-CN"/>
              </w:rPr>
              <w:t>Case 2: Single tone 15kHz</w:t>
            </w:r>
          </w:p>
        </w:tc>
        <w:tc>
          <w:tcPr>
            <w:tcW w:w="1463" w:type="dxa"/>
            <w:noWrap/>
            <w:vAlign w:val="top"/>
          </w:tcPr>
          <w:p>
            <w:pPr>
              <w:pStyle w:val="33"/>
              <w:rPr>
                <w:rFonts w:eastAsia="宋体"/>
                <w:lang w:eastAsia="ja-JP"/>
              </w:rPr>
            </w:pPr>
            <w:r>
              <w:rPr>
                <w:rFonts w:hint="eastAsia" w:eastAsia="宋体"/>
                <w:lang w:val="en-US" w:eastAsia="zh-CN"/>
              </w:rPr>
              <w:t xml:space="preserve">ACS </w:t>
            </w:r>
            <w:r>
              <w:rPr>
                <w:rFonts w:hint="eastAsia" w:eastAsia="宋体"/>
                <w:lang w:eastAsia="ja-JP"/>
              </w:rPr>
              <w:t>[dB]</w:t>
            </w:r>
          </w:p>
        </w:tc>
        <w:tc>
          <w:tcPr>
            <w:tcW w:w="793"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45</w:t>
            </w:r>
          </w:p>
        </w:tc>
        <w:tc>
          <w:tcPr>
            <w:tcW w:w="786"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cs="Arial"/>
                <w:color w:val="auto"/>
                <w:sz w:val="18"/>
                <w:szCs w:val="18"/>
                <w:highlight w:val="yellow"/>
                <w:lang w:val="en-US" w:eastAsia="zh-CN"/>
              </w:rPr>
              <w:t>50</w:t>
            </w:r>
          </w:p>
        </w:tc>
        <w:tc>
          <w:tcPr>
            <w:tcW w:w="786"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cs="Arial"/>
                <w:color w:val="auto"/>
                <w:sz w:val="18"/>
                <w:szCs w:val="18"/>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15.09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10.36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6.05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2.82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1.10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0.33 </w:t>
            </w:r>
          </w:p>
        </w:tc>
        <w:tc>
          <w:tcPr>
            <w:tcW w:w="786" w:type="dxa"/>
            <w:shd w:val="clear" w:color="auto" w:fill="auto"/>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0.11 </w:t>
            </w:r>
          </w:p>
        </w:tc>
        <w:tc>
          <w:tcPr>
            <w:tcW w:w="786" w:type="dxa"/>
            <w:shd w:val="clear" w:color="auto" w:fill="auto"/>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16.69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11.91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7.66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4.10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1.82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0.59 </w:t>
            </w:r>
          </w:p>
        </w:tc>
        <w:tc>
          <w:tcPr>
            <w:tcW w:w="786" w:type="dxa"/>
            <w:shd w:val="clear" w:color="auto" w:fill="auto"/>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0.20 </w:t>
            </w:r>
          </w:p>
        </w:tc>
        <w:tc>
          <w:tcPr>
            <w:tcW w:w="786" w:type="dxa"/>
            <w:shd w:val="clear" w:color="auto" w:fill="auto"/>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18.80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14.24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9.91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5.84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3.14 </w:t>
            </w:r>
          </w:p>
        </w:tc>
        <w:tc>
          <w:tcPr>
            <w:tcW w:w="784" w:type="dxa"/>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1.64 </w:t>
            </w:r>
          </w:p>
        </w:tc>
        <w:tc>
          <w:tcPr>
            <w:tcW w:w="786" w:type="dxa"/>
            <w:shd w:val="clear" w:color="auto" w:fill="auto"/>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0.62 </w:t>
            </w:r>
          </w:p>
        </w:tc>
        <w:tc>
          <w:tcPr>
            <w:tcW w:w="786" w:type="dxa"/>
            <w:shd w:val="clear" w:color="auto" w:fill="auto"/>
            <w:noWrap/>
            <w:vAlign w:val="bottom"/>
          </w:tcPr>
          <w:p>
            <w:pPr>
              <w:keepNext w:val="0"/>
              <w:keepLines w:val="0"/>
              <w:widowControl/>
              <w:suppressLineNumbers w:val="0"/>
              <w:jc w:val="center"/>
              <w:textAlignment w:val="bottom"/>
              <w:rPr>
                <w:rFonts w:hint="eastAsia" w:ascii="Arial" w:hAnsi="Arial" w:eastAsia="宋体" w:cs="Arial"/>
                <w:b w:val="0"/>
                <w:bCs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1"/>
          <w:szCs w:val="21"/>
          <w:highlight w:val="none"/>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463"/>
        <w:gridCol w:w="793"/>
        <w:gridCol w:w="784"/>
        <w:gridCol w:w="784"/>
        <w:gridCol w:w="784"/>
        <w:gridCol w:w="784"/>
        <w:gridCol w:w="784"/>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noWrap/>
            <w:vAlign w:val="top"/>
          </w:tcPr>
          <w:p>
            <w:pPr>
              <w:pStyle w:val="33"/>
              <w:rPr>
                <w:rFonts w:hint="default" w:eastAsia="宋体"/>
                <w:lang w:val="en-US" w:eastAsia="zh-CN"/>
              </w:rPr>
            </w:pPr>
            <w:r>
              <w:rPr>
                <w:rFonts w:hint="eastAsia" w:eastAsia="宋体"/>
                <w:lang w:val="en-US" w:eastAsia="zh-CN"/>
              </w:rPr>
              <w:t>Case 2: Single tone 3.75kHz</w:t>
            </w:r>
          </w:p>
        </w:tc>
        <w:tc>
          <w:tcPr>
            <w:tcW w:w="1463" w:type="dxa"/>
            <w:noWrap/>
            <w:vAlign w:val="top"/>
          </w:tcPr>
          <w:p>
            <w:pPr>
              <w:pStyle w:val="33"/>
              <w:rPr>
                <w:rFonts w:eastAsia="宋体"/>
                <w:lang w:eastAsia="ja-JP"/>
              </w:rPr>
            </w:pPr>
            <w:r>
              <w:rPr>
                <w:rFonts w:hint="eastAsia" w:eastAsia="宋体"/>
                <w:lang w:val="en-US" w:eastAsia="zh-CN"/>
              </w:rPr>
              <w:t xml:space="preserve">ACS </w:t>
            </w:r>
            <w:r>
              <w:rPr>
                <w:rFonts w:hint="eastAsia" w:eastAsia="宋体"/>
                <w:lang w:eastAsia="ja-JP"/>
              </w:rPr>
              <w:t>[dB]</w:t>
            </w:r>
          </w:p>
        </w:tc>
        <w:tc>
          <w:tcPr>
            <w:tcW w:w="793"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45</w:t>
            </w:r>
          </w:p>
        </w:tc>
        <w:tc>
          <w:tcPr>
            <w:tcW w:w="786"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cs="Arial"/>
                <w:color w:val="auto"/>
                <w:sz w:val="18"/>
                <w:szCs w:val="18"/>
                <w:highlight w:val="none"/>
                <w:lang w:val="en-US" w:eastAsia="zh-CN"/>
              </w:rPr>
              <w:t>50</w:t>
            </w:r>
          </w:p>
        </w:tc>
        <w:tc>
          <w:tcPr>
            <w:tcW w:w="786" w:type="dxa"/>
            <w:noWrap/>
            <w:vAlign w:val="center"/>
          </w:tcPr>
          <w:p>
            <w:pPr>
              <w:spacing w:after="0"/>
              <w:jc w:val="center"/>
              <w:rPr>
                <w:rFonts w:hint="default" w:ascii="Arial" w:hAnsi="Arial" w:eastAsia="宋体" w:cs="Arial"/>
                <w:color w:val="auto"/>
                <w:sz w:val="18"/>
                <w:szCs w:val="18"/>
                <w:highlight w:val="yellow"/>
                <w:lang w:val="en-US" w:eastAsia="zh-CN"/>
              </w:rPr>
            </w:pPr>
            <w:r>
              <w:rPr>
                <w:rFonts w:hint="default" w:ascii="Arial" w:hAnsi="Arial" w:cs="Arial"/>
                <w:color w:val="auto"/>
                <w:sz w:val="18"/>
                <w:szCs w:val="18"/>
                <w:highlight w:val="yellow"/>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16.91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11.98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7.46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3.83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1.61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0.59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0.19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22.74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17.80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12.96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8.45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4.64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2.06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0.78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ja-JP" w:bidi="ar"/>
              </w:rPr>
            </w:pPr>
            <w:r>
              <w:rPr>
                <w:rFonts w:hint="eastAsia" w:ascii="Arial" w:hAnsi="Arial" w:eastAsia="宋体" w:cs="Arial"/>
                <w:i w:val="0"/>
                <w:color w:val="000000"/>
                <w:kern w:val="0"/>
                <w:sz w:val="18"/>
                <w:szCs w:val="18"/>
                <w:highlight w:val="yellow"/>
                <w:u w:val="none"/>
                <w:lang w:val="en-US" w:eastAsia="zh-CN" w:bidi="ar"/>
              </w:rPr>
              <w:t xml:space="preserve">0.26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29.54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24.55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19.58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14.69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10.00 </w:t>
            </w:r>
          </w:p>
        </w:tc>
        <w:tc>
          <w:tcPr>
            <w:tcW w:w="78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5.87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ja-JP" w:bidi="ar"/>
              </w:rPr>
            </w:pPr>
            <w:r>
              <w:rPr>
                <w:rFonts w:hint="eastAsia" w:ascii="Arial" w:hAnsi="Arial" w:eastAsia="宋体" w:cs="Arial"/>
                <w:i w:val="0"/>
                <w:color w:val="000000"/>
                <w:kern w:val="0"/>
                <w:sz w:val="18"/>
                <w:szCs w:val="18"/>
                <w:u w:val="none"/>
                <w:lang w:val="en-US" w:eastAsia="zh-CN" w:bidi="ar"/>
              </w:rPr>
              <w:t xml:space="preserve">2.79 </w:t>
            </w:r>
          </w:p>
        </w:tc>
        <w:tc>
          <w:tcPr>
            <w:tcW w:w="786"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ja-JP" w:bidi="ar"/>
              </w:rPr>
            </w:pPr>
            <w:r>
              <w:rPr>
                <w:rFonts w:hint="eastAsia" w:ascii="Arial" w:hAnsi="Arial" w:eastAsia="宋体" w:cs="Arial"/>
                <w:i w:val="0"/>
                <w:color w:val="000000"/>
                <w:kern w:val="0"/>
                <w:sz w:val="18"/>
                <w:szCs w:val="18"/>
                <w:highlight w:val="yellow"/>
                <w:u w:val="none"/>
                <w:lang w:val="en-US" w:eastAsia="zh-CN" w:bidi="ar"/>
              </w:rPr>
              <w:t xml:space="preserve">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1"/>
          <w:szCs w:val="21"/>
          <w:highlight w:val="none"/>
          <w:lang w:val="en-US" w:eastAsia="zh-CN" w:bidi="ar-SA"/>
        </w:rPr>
      </w:pP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It should be noted that</w:t>
      </w:r>
      <w:r>
        <w:rPr>
          <w:rFonts w:hint="eastAsia" w:cs="Times New Roman"/>
          <w:kern w:val="2"/>
          <w:sz w:val="21"/>
          <w:szCs w:val="21"/>
          <w:highlight w:val="none"/>
          <w:lang w:val="en-US" w:eastAsia="zh-CN" w:bidi="ar-SA"/>
        </w:rPr>
        <w:t xml:space="preserve"> </w:t>
      </w:r>
      <w:r>
        <w:rPr>
          <w:rFonts w:hint="eastAsia" w:ascii="Times New Roman" w:hAnsi="Times New Roman" w:eastAsia="宋体" w:cs="Times New Roman"/>
          <w:i w:val="0"/>
          <w:caps w:val="0"/>
          <w:spacing w:val="0"/>
          <w:sz w:val="21"/>
          <w:szCs w:val="21"/>
          <w:highlight w:val="none"/>
          <w:u w:val="none"/>
          <w:shd w:val="clear"/>
        </w:rPr>
        <w:t>pessimistic</w:t>
      </w:r>
      <w:r>
        <w:rPr>
          <w:rFonts w:hint="eastAsia" w:cs="Times New Roman"/>
          <w:i w:val="0"/>
          <w:caps w:val="0"/>
          <w:spacing w:val="0"/>
          <w:sz w:val="21"/>
          <w:szCs w:val="21"/>
          <w:highlight w:val="none"/>
          <w:u w:val="none"/>
          <w:shd w:val="clear"/>
          <w:lang w:val="en-US" w:eastAsia="zh-CN"/>
        </w:rPr>
        <w:t xml:space="preserve"> </w:t>
      </w:r>
      <w:r>
        <w:rPr>
          <w:rFonts w:hint="eastAsia" w:cs="Times New Roman"/>
          <w:kern w:val="2"/>
          <w:sz w:val="21"/>
          <w:szCs w:val="21"/>
          <w:highlight w:val="none"/>
          <w:lang w:val="en-US" w:eastAsia="zh-CN" w:bidi="ar-SA"/>
        </w:rPr>
        <w:t xml:space="preserve">flat ACS is assumed over the adjacent 20MHz TN UL NR carrier, however when its ACS requirement is defined for standalone NB-IoT BS, it should be based on adjacent 180kHz interfering signal instead of 20MHz carrier. Based on the above simulation results, it seems that the legacy ACS requirement 38dBc over adjacent 180kHz carrier is sufficient. </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 of Case 3</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In case 3, NTN DL transmission may interfere TN UE when TN UE receives DL transmission from TN BS. The effective ACLR of NTN SAN should be provided according to the section 6.3 of TR 36.802</w:t>
      </w:r>
      <w:r>
        <w:rPr>
          <w:rFonts w:hint="eastAsia" w:cs="Times New Roman"/>
          <w:kern w:val="2"/>
          <w:sz w:val="21"/>
          <w:szCs w:val="21"/>
          <w:highlight w:val="none"/>
          <w:lang w:val="en-US" w:eastAsia="zh-CN" w:bidi="ar-SA"/>
        </w:rPr>
        <w:t>[3</w:t>
      </w:r>
      <w:r>
        <w:rPr>
          <w:rFonts w:hint="eastAsia" w:ascii="Times New Roman" w:hAnsi="Times New Roman" w:cs="Times New Roman"/>
          <w:kern w:val="2"/>
          <w:sz w:val="21"/>
          <w:szCs w:val="21"/>
          <w:highlight w:val="none"/>
          <w:lang w:val="en-US" w:eastAsia="zh-CN" w:bidi="ar-SA"/>
        </w:rPr>
        <w:t xml:space="preserve">]. The simulation result is shown as the following table. </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6"/>
        <w:gridCol w:w="1464"/>
        <w:gridCol w:w="785"/>
        <w:gridCol w:w="785"/>
        <w:gridCol w:w="785"/>
        <w:gridCol w:w="785"/>
        <w:gridCol w:w="785"/>
        <w:gridCol w:w="785"/>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6" w:type="dxa"/>
            <w:noWrap/>
            <w:vAlign w:val="top"/>
          </w:tcPr>
          <w:p>
            <w:pPr>
              <w:pStyle w:val="33"/>
              <w:rPr>
                <w:rFonts w:hint="default" w:eastAsia="宋体"/>
                <w:lang w:val="en-US" w:eastAsia="zh-CN"/>
              </w:rPr>
            </w:pPr>
            <w:r>
              <w:rPr>
                <w:rFonts w:hint="eastAsia" w:eastAsia="宋体"/>
                <w:lang w:val="en-US" w:eastAsia="zh-CN"/>
              </w:rPr>
              <w:t>Case 3</w:t>
            </w:r>
          </w:p>
        </w:tc>
        <w:tc>
          <w:tcPr>
            <w:tcW w:w="1464"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5</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15</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5</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0</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TN_AAS_DL</w:t>
            </w:r>
          </w:p>
        </w:tc>
        <w:tc>
          <w:tcPr>
            <w:tcW w:w="1464"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22.88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continue"/>
            <w:shd w:val="clear" w:color="auto" w:fill="DCD8C2"/>
            <w:noWrap/>
            <w:vAlign w:val="center"/>
          </w:tcPr>
          <w:p>
            <w:pPr>
              <w:pStyle w:val="33"/>
              <w:jc w:val="center"/>
              <w:rPr>
                <w:rFonts w:hint="eastAsia" w:eastAsia="宋体"/>
                <w:b w:val="0"/>
                <w:bCs/>
                <w:lang w:val="en-US" w:eastAsia="zh-CN"/>
              </w:rPr>
            </w:pPr>
          </w:p>
        </w:tc>
        <w:tc>
          <w:tcPr>
            <w:tcW w:w="1464"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31.78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31.09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0.60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3"/>
              <w:jc w:val="center"/>
              <w:rPr>
                <w:rFonts w:eastAsia="宋体"/>
                <w:b w:val="0"/>
                <w:bCs/>
                <w:lang w:eastAsia="ja-JP"/>
              </w:rPr>
            </w:pPr>
          </w:p>
        </w:tc>
        <w:tc>
          <w:tcPr>
            <w:tcW w:w="1464"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53.77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26.93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10.44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3.41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TN_AAS_DL</w:t>
            </w: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65.07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10.97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4.16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3"/>
              <w:jc w:val="center"/>
              <w:rPr>
                <w:rFonts w:eastAsia="宋体"/>
                <w:b w:val="0"/>
                <w:bCs/>
                <w:lang w:eastAsia="ja-JP"/>
              </w:rPr>
            </w:pP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84.35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13.73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16"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81.39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59.52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33.93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15.03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0.50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3"/>
              <w:jc w:val="center"/>
              <w:rPr>
                <w:rFonts w:hint="eastAsia" w:eastAsia="宋体"/>
                <w:b w:val="0"/>
                <w:bCs/>
                <w:lang w:val="en-US" w:eastAsia="ja-JP"/>
              </w:rPr>
            </w:pP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57.48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29.79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4.23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0.42</w:t>
            </w:r>
          </w:p>
        </w:tc>
      </w:tr>
    </w:tbl>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4</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4</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 xml:space="preserve">IoT over </w:t>
      </w:r>
      <w:r>
        <w:rPr>
          <w:rFonts w:hint="eastAsia" w:ascii="Times New Roman" w:hAnsi="Times New Roman" w:eastAsia="宋体" w:cs="Times New Roman"/>
          <w:b w:val="0"/>
          <w:bCs w:val="0"/>
          <w:kern w:val="2"/>
          <w:sz w:val="21"/>
          <w:szCs w:val="21"/>
          <w:highlight w:val="none"/>
          <w:lang w:val="en-US" w:eastAsia="zh-CN" w:bidi="ar-SA"/>
        </w:rPr>
        <w:t xml:space="preserve">NTN UL may interfere TN BS when TN BS receives UL transmission from TN UE. The effective ACLR of </w:t>
      </w:r>
      <w:r>
        <w:rPr>
          <w:rFonts w:hint="eastAsia" w:cs="Times New Roman"/>
          <w:b w:val="0"/>
          <w:bCs w:val="0"/>
          <w:kern w:val="2"/>
          <w:sz w:val="21"/>
          <w:szCs w:val="21"/>
          <w:highlight w:val="none"/>
          <w:lang w:val="en-US" w:eastAsia="zh-CN" w:bidi="ar-SA"/>
        </w:rPr>
        <w:t>IoT over N</w:t>
      </w:r>
      <w:r>
        <w:rPr>
          <w:rFonts w:hint="eastAsia" w:ascii="Times New Roman" w:hAnsi="Times New Roman" w:eastAsia="宋体" w:cs="Times New Roman"/>
          <w:b w:val="0"/>
          <w:bCs w:val="0"/>
          <w:kern w:val="2"/>
          <w:sz w:val="21"/>
          <w:szCs w:val="21"/>
          <w:highlight w:val="none"/>
          <w:lang w:val="en-US" w:eastAsia="zh-CN" w:bidi="ar-SA"/>
        </w:rPr>
        <w:t>TN UE should be provided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 is shown as the following table.</w:t>
      </w:r>
      <w:r>
        <w:rPr>
          <w:rFonts w:hint="default" w:ascii="Times New Roman" w:hAnsi="Times New Roman" w:eastAsia="宋体" w:cs="Times New Roman"/>
          <w:b w:val="0"/>
          <w:bCs w:val="0"/>
          <w:kern w:val="2"/>
          <w:sz w:val="21"/>
          <w:szCs w:val="21"/>
          <w:highlight w:val="none"/>
          <w:lang w:val="en-US" w:eastAsia="zh-CN" w:bidi="ar-SA"/>
        </w:rPr>
        <w:t xml:space="preserve"> </w:t>
      </w: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vAlign w:val="top"/>
          </w:tcPr>
          <w:p>
            <w:pPr>
              <w:pStyle w:val="38"/>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default" w:ascii="Arial" w:hAnsi="Arial" w:eastAsia="宋体" w:cs="Times New Roman"/>
                <w:b/>
                <w:kern w:val="0"/>
                <w:sz w:val="18"/>
                <w:szCs w:val="20"/>
                <w:lang w:val="en-US" w:eastAsia="zh-CN" w:bidi="ar-SA"/>
              </w:rPr>
            </w:pPr>
            <w:r>
              <w:rPr>
                <w:rFonts w:hint="eastAsia" w:ascii="Arial" w:hAnsi="Arial" w:eastAsia="宋体" w:cs="Times New Roman"/>
                <w:b/>
                <w:kern w:val="0"/>
                <w:sz w:val="18"/>
                <w:szCs w:val="20"/>
                <w:lang w:val="en-US" w:eastAsia="zh-CN" w:bidi="ar-SA"/>
              </w:rPr>
              <w:t>Case 4</w:t>
            </w:r>
            <w:r>
              <w:rPr>
                <w:rFonts w:hint="eastAsia" w:ascii="Arial" w:hAnsi="Arial" w:cs="Times New Roman"/>
                <w:b/>
                <w:kern w:val="0"/>
                <w:sz w:val="18"/>
                <w:szCs w:val="20"/>
                <w:lang w:val="en-US" w:eastAsia="zh-CN" w:bidi="ar-SA"/>
              </w:rPr>
              <w:t xml:space="preserve"> : </w:t>
            </w:r>
            <w:r>
              <w:rPr>
                <w:rFonts w:hint="eastAsia" w:ascii="Arial" w:hAnsi="Arial" w:eastAsia="宋体" w:cs="Times New Roman"/>
                <w:b/>
                <w:kern w:val="0"/>
                <w:sz w:val="18"/>
                <w:szCs w:val="20"/>
                <w:lang w:val="en-US" w:eastAsia="zh-CN" w:bidi="ar-SA"/>
              </w:rPr>
              <w:t>Multiple tone</w:t>
            </w:r>
          </w:p>
        </w:tc>
        <w:tc>
          <w:tcPr>
            <w:tcW w:w="1492" w:type="dxa"/>
            <w:noWrap/>
            <w:vAlign w:val="top"/>
          </w:tcPr>
          <w:p>
            <w:pPr>
              <w:pStyle w:val="33"/>
              <w:rPr>
                <w:rFonts w:hint="eastAsia"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ja-JP" w:bidi="ar-SA"/>
              </w:rPr>
              <w:t>AC</w:t>
            </w:r>
            <w:r>
              <w:rPr>
                <w:rFonts w:hint="eastAsia" w:ascii="Arial" w:hAnsi="Arial" w:eastAsia="宋体" w:cs="Times New Roman"/>
                <w:b/>
                <w:kern w:val="0"/>
                <w:sz w:val="18"/>
                <w:szCs w:val="20"/>
                <w:lang w:val="en-US" w:eastAsia="zh-CN" w:bidi="ar-SA"/>
              </w:rPr>
              <w:t>L</w:t>
            </w:r>
            <w:r>
              <w:rPr>
                <w:rFonts w:hint="eastAsia" w:ascii="Arial" w:hAnsi="Arial" w:eastAsia="宋体" w:cs="Times New Roman"/>
                <w:b/>
                <w:kern w:val="0"/>
                <w:sz w:val="18"/>
                <w:szCs w:val="20"/>
                <w:lang w:val="en-US" w:eastAsia="ja-JP" w:bidi="ar-SA"/>
              </w:rPr>
              <w:t>R [dB]</w:t>
            </w:r>
          </w:p>
        </w:tc>
        <w:tc>
          <w:tcPr>
            <w:tcW w:w="812"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10</w:t>
            </w:r>
          </w:p>
        </w:tc>
        <w:tc>
          <w:tcPr>
            <w:tcW w:w="805"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15</w:t>
            </w:r>
          </w:p>
        </w:tc>
        <w:tc>
          <w:tcPr>
            <w:tcW w:w="738"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20</w:t>
            </w:r>
          </w:p>
        </w:tc>
        <w:tc>
          <w:tcPr>
            <w:tcW w:w="762" w:type="dxa"/>
            <w:noWrap/>
            <w:vAlign w:val="center"/>
          </w:tcPr>
          <w:p>
            <w:pPr>
              <w:spacing w:after="0"/>
              <w:jc w:val="center"/>
              <w:rPr>
                <w:rFonts w:hint="default" w:ascii="Arial" w:hAnsi="Arial" w:eastAsia="宋体" w:cs="Times New Roman"/>
                <w:b/>
                <w:kern w:val="0"/>
                <w:sz w:val="18"/>
                <w:szCs w:val="20"/>
                <w:lang w:val="en-US" w:eastAsia="ja-JP" w:bidi="ar-SA"/>
              </w:rPr>
            </w:pPr>
            <w:r>
              <w:rPr>
                <w:rFonts w:hint="default" w:ascii="Arial" w:hAnsi="Arial" w:eastAsia="宋体" w:cs="Times New Roman"/>
                <w:b/>
                <w:kern w:val="0"/>
                <w:sz w:val="18"/>
                <w:szCs w:val="20"/>
                <w:lang w:val="en-US" w:eastAsia="ja-JP" w:bidi="ar-SA"/>
              </w:rPr>
              <w:t>25</w:t>
            </w:r>
          </w:p>
        </w:tc>
        <w:tc>
          <w:tcPr>
            <w:tcW w:w="755"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0</w:t>
            </w:r>
          </w:p>
        </w:tc>
        <w:tc>
          <w:tcPr>
            <w:tcW w:w="771"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5</w:t>
            </w:r>
          </w:p>
        </w:tc>
        <w:tc>
          <w:tcPr>
            <w:tcW w:w="789"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0</w:t>
            </w:r>
          </w:p>
        </w:tc>
        <w:tc>
          <w:tcPr>
            <w:tcW w:w="857"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16.58 </w:t>
            </w: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9.26 </w:t>
            </w: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4.97 </w:t>
            </w: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2.55 </w:t>
            </w: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1.27 </w:t>
            </w: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0.67 </w:t>
            </w: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0.29 </w:t>
            </w: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61.39 </w:t>
            </w: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38.78 </w:t>
            </w: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21.82 </w:t>
            </w: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9.97 </w:t>
            </w: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6.77 </w:t>
            </w: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3.06 </w:t>
            </w: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1.03 </w:t>
            </w: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12.02 </w:t>
            </w: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6.37 </w:t>
            </w: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3.40 </w:t>
            </w: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1.97 </w:t>
            </w: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1.41 </w:t>
            </w: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0.59 </w:t>
            </w: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0.20 </w:t>
            </w: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33.26 </w:t>
            </w: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16.48 </w:t>
            </w: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7.16 </w:t>
            </w: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2.61 </w:t>
            </w: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0.89 </w:t>
            </w: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0.00 </w:t>
            </w: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0.00 </w:t>
            </w: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0.00 </w:t>
            </w:r>
          </w:p>
        </w:tc>
      </w:tr>
    </w:tbl>
    <w:p>
      <w:pPr>
        <w:pStyle w:val="50"/>
        <w:bidi w:val="0"/>
        <w:ind w:left="0" w:leftChars="0" w:firstLine="400" w:firstLineChars="0"/>
        <w:rPr>
          <w:rFonts w:hint="default"/>
          <w:lang w:val="en-US" w:eastAsia="zh-CN"/>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jc w:val="left"/>
              <w:rPr>
                <w:rFonts w:hint="default" w:eastAsia="宋体"/>
                <w:lang w:val="en-US" w:eastAsia="zh-CN"/>
              </w:rPr>
            </w:pPr>
            <w:r>
              <w:rPr>
                <w:rFonts w:hint="eastAsia" w:eastAsia="宋体"/>
                <w:lang w:val="en-US" w:eastAsia="zh-CN"/>
              </w:rPr>
              <w:t>Case 4: Single tone 15kHz</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18.37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9.94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5.27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2.74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1.53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0.77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0.43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60.88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38.01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22.55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11.53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5.74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3.47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1.20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12.96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6.57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3.77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2.18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1.21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0.64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0.26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43.64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20.68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8.49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2.98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0.91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0.07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0.01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0.00 </w:t>
            </w:r>
          </w:p>
        </w:tc>
      </w:tr>
    </w:tbl>
    <w:p>
      <w:pPr>
        <w:pStyle w:val="50"/>
        <w:bidi w:val="0"/>
        <w:ind w:left="0" w:leftChars="0" w:firstLine="0" w:firstLineChars="0"/>
        <w:rPr>
          <w:rFonts w:hint="default"/>
          <w:lang w:val="en-US" w:eastAsia="zh-CN"/>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jc w:val="left"/>
              <w:rPr>
                <w:rFonts w:hint="default" w:eastAsia="宋体"/>
                <w:lang w:val="en-US" w:eastAsia="zh-CN"/>
              </w:rPr>
            </w:pPr>
            <w:r>
              <w:rPr>
                <w:rFonts w:hint="eastAsia" w:eastAsia="宋体"/>
                <w:lang w:val="en-US" w:eastAsia="zh-CN"/>
              </w:rPr>
              <w:t>Case 4: Single tone 3.75kHz</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宋体" w:cs="Arial"/>
                <w:color w:val="auto"/>
                <w:sz w:val="18"/>
                <w:szCs w:val="18"/>
                <w:highlight w:val="yellow"/>
                <w:lang w:val="en-US" w:eastAsia="zh-CN"/>
              </w:rPr>
              <w:t>3</w:t>
            </w:r>
            <w:r>
              <w:rPr>
                <w:rFonts w:hint="default" w:ascii="Arial" w:hAnsi="Arial" w:eastAsia="MS PGothic" w:cs="Arial"/>
                <w:color w:val="auto"/>
                <w:sz w:val="18"/>
                <w:szCs w:val="18"/>
                <w:highlight w:val="yellow"/>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宋体" w:cs="Arial"/>
                <w:color w:val="auto"/>
                <w:sz w:val="18"/>
                <w:szCs w:val="18"/>
                <w:highlight w:val="yellow"/>
                <w:lang w:val="en-US" w:eastAsia="zh-CN"/>
              </w:rPr>
              <w:t>3</w:t>
            </w:r>
            <w:r>
              <w:rPr>
                <w:rFonts w:hint="default" w:ascii="Arial" w:hAnsi="Arial" w:eastAsia="MS PGothic" w:cs="Arial"/>
                <w:color w:val="auto"/>
                <w:sz w:val="18"/>
                <w:szCs w:val="18"/>
                <w:highlight w:val="yellow"/>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14.94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8.24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4.37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2.33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1.19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0.60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0.35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50.64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30.43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17.46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7.83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4.03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2.36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1.32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14.38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8.14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4.63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2.44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1.07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0.40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0.12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42.93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19.95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7.09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1.62 </w:t>
            </w: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0.37 </w:t>
            </w: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eastAsia" w:ascii="Arial" w:hAnsi="Arial" w:eastAsia="宋体" w:cs="Arial"/>
                <w:i w:val="0"/>
                <w:color w:val="000000"/>
                <w:kern w:val="0"/>
                <w:sz w:val="18"/>
                <w:szCs w:val="18"/>
                <w:highlight w:val="yellow"/>
                <w:u w:val="none"/>
                <w:lang w:val="en-US" w:eastAsia="zh-CN" w:bidi="ar"/>
              </w:rPr>
              <w:t xml:space="preserve">0.07 </w:t>
            </w: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0.01 </w:t>
            </w: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0.00 </w:t>
            </w:r>
          </w:p>
        </w:tc>
      </w:tr>
    </w:tbl>
    <w:p>
      <w:pPr>
        <w:pStyle w:val="50"/>
        <w:bidi w:val="0"/>
        <w:ind w:left="0" w:leftChars="0" w:firstLine="0" w:firstLineChars="0"/>
        <w:rPr>
          <w:rFonts w:hint="default"/>
          <w:lang w:val="en-US" w:eastAsia="zh-CN"/>
        </w:rPr>
      </w:pP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5</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eastAsia="宋体" w:cs="Times New Roman"/>
          <w:kern w:val="2"/>
          <w:sz w:val="20"/>
          <w:szCs w:val="20"/>
          <w:highlight w:val="none"/>
          <w:lang w:val="en-US" w:eastAsia="zh-CN" w:bidi="ar-SA"/>
        </w:rPr>
      </w:pP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UL interfering TN DL, if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UE is close to TN UE e.g. 1m distance separation, then coupling loss is around 40dBc, the in-band blocking level of TN UE in adjacent channel would be -21dBm which is very stringent and demanding requirements than existing requirements </w:t>
      </w:r>
      <w:r>
        <w:rPr>
          <w:rFonts w:hint="eastAsia" w:ascii="Times New Roman" w:hAnsi="Times New Roman" w:eastAsia="宋体" w:cs="Times New Roman"/>
          <w:kern w:val="2"/>
          <w:sz w:val="20"/>
          <w:szCs w:val="20"/>
          <w:highlight w:val="none"/>
          <w:lang w:val="en-US" w:eastAsia="zh-CN" w:bidi="ar-SA"/>
        </w:rPr>
        <w:t xml:space="preserve">ACS and in-band blocking requirements </w:t>
      </w:r>
      <w:r>
        <w:rPr>
          <w:rFonts w:hint="default" w:ascii="Times New Roman" w:hAnsi="Times New Roman" w:eastAsia="宋体" w:cs="Times New Roman"/>
          <w:kern w:val="2"/>
          <w:sz w:val="20"/>
          <w:szCs w:val="20"/>
          <w:highlight w:val="none"/>
          <w:lang w:val="en-US" w:eastAsia="zh-CN" w:bidi="ar-SA"/>
        </w:rPr>
        <w:t xml:space="preserve">for FR1 UE, therefore from this perspective,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service cannot been provided </w:t>
      </w:r>
      <w:r>
        <w:rPr>
          <w:rFonts w:hint="eastAsia" w:ascii="Times New Roman" w:hAnsi="Times New Roman" w:eastAsia="宋体" w:cs="Times New Roman"/>
          <w:kern w:val="2"/>
          <w:sz w:val="20"/>
          <w:szCs w:val="20"/>
          <w:highlight w:val="none"/>
          <w:lang w:val="en-US" w:eastAsia="zh-CN" w:bidi="ar-SA"/>
        </w:rPr>
        <w:t xml:space="preserve">together </w:t>
      </w:r>
      <w:r>
        <w:rPr>
          <w:rFonts w:hint="default" w:ascii="Times New Roman" w:hAnsi="Times New Roman" w:eastAsia="宋体" w:cs="Times New Roman"/>
          <w:kern w:val="2"/>
          <w:sz w:val="20"/>
          <w:szCs w:val="20"/>
          <w:highlight w:val="none"/>
          <w:lang w:val="en-US" w:eastAsia="zh-CN" w:bidi="ar-SA"/>
        </w:rPr>
        <w:t>with TN service</w:t>
      </w:r>
      <w:r>
        <w:rPr>
          <w:rFonts w:hint="eastAsia" w:ascii="Times New Roman" w:hAnsi="Times New Roman" w:eastAsia="宋体" w:cs="Times New Roman"/>
          <w:kern w:val="2"/>
          <w:sz w:val="20"/>
          <w:szCs w:val="20"/>
          <w:highlight w:val="none"/>
          <w:lang w:val="en-US" w:eastAsia="zh-CN" w:bidi="ar-SA"/>
        </w:rPr>
        <w:t xml:space="preserve"> in the same geographical area</w:t>
      </w:r>
      <w:r>
        <w:rPr>
          <w:rFonts w:hint="default" w:ascii="Times New Roman" w:hAnsi="Times New Roman" w:eastAsia="宋体" w:cs="Times New Roman"/>
          <w:kern w:val="2"/>
          <w:sz w:val="20"/>
          <w:szCs w:val="20"/>
          <w:highlight w:val="none"/>
          <w:lang w:val="en-US" w:eastAsia="zh-CN" w:bidi="ar-SA"/>
        </w:rPr>
        <w:t xml:space="preserve"> especially within close frequency spectrum. If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NTN UL could be done in OOBB range of TN service, then its kind of cross-link interference could be still acceptable</w:t>
      </w:r>
      <w:r>
        <w:rPr>
          <w:rFonts w:hint="eastAsia" w:ascii="Times New Roman" w:hAnsi="Times New Roman" w:eastAsia="宋体" w:cs="Times New Roman"/>
          <w:kern w:val="2"/>
          <w:sz w:val="20"/>
          <w:szCs w:val="20"/>
          <w:highlight w:val="none"/>
          <w:lang w:val="en-US" w:eastAsia="zh-CN" w:bidi="ar-SA"/>
        </w:rPr>
        <w:t xml:space="preserve"> or NTN service is provided with certain geographical area separation.</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6</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6</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b w:val="0"/>
          <w:bCs w:val="0"/>
          <w:lang w:val="en-US" w:eastAsia="zh-CN"/>
        </w:rPr>
        <w:t xml:space="preserve">TN DL may interfere IoT over NTN SAN when IoT over NTN SAN receives UL transmission from IoT over NTN UE. </w:t>
      </w:r>
      <w:r>
        <w:rPr>
          <w:rFonts w:hint="eastAsia" w:ascii="Times New Roman" w:hAnsi="Times New Roman" w:eastAsia="宋体" w:cs="Times New Roman"/>
          <w:b w:val="0"/>
          <w:bCs w:val="0"/>
          <w:kern w:val="2"/>
          <w:sz w:val="21"/>
          <w:szCs w:val="21"/>
          <w:highlight w:val="none"/>
          <w:lang w:val="en-US" w:eastAsia="zh-CN" w:bidi="ar-SA"/>
        </w:rPr>
        <w:t xml:space="preserve">The effective ACLR of TN </w:t>
      </w:r>
      <w:r>
        <w:rPr>
          <w:rFonts w:hint="eastAsia" w:cs="Times New Roman"/>
          <w:b w:val="0"/>
          <w:bCs w:val="0"/>
          <w:kern w:val="2"/>
          <w:sz w:val="21"/>
          <w:szCs w:val="21"/>
          <w:highlight w:val="none"/>
          <w:lang w:val="en-US" w:eastAsia="zh-CN" w:bidi="ar-SA"/>
        </w:rPr>
        <w:t>BS</w:t>
      </w:r>
      <w:r>
        <w:rPr>
          <w:rFonts w:hint="eastAsia" w:ascii="Times New Roman" w:hAnsi="Times New Roman" w:eastAsia="宋体" w:cs="Times New Roman"/>
          <w:b w:val="0"/>
          <w:bCs w:val="0"/>
          <w:kern w:val="2"/>
          <w:sz w:val="21"/>
          <w:szCs w:val="21"/>
          <w:highlight w:val="none"/>
          <w:lang w:val="en-US" w:eastAsia="zh-CN" w:bidi="ar-SA"/>
        </w:rPr>
        <w:t xml:space="preserve"> should be provided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w:t>
      </w:r>
      <w:r>
        <w:rPr>
          <w:rFonts w:hint="eastAsia" w:cs="Times New Roman"/>
          <w:b w:val="0"/>
          <w:bCs w:val="0"/>
          <w:kern w:val="2"/>
          <w:sz w:val="21"/>
          <w:szCs w:val="21"/>
          <w:highlight w:val="none"/>
          <w:lang w:val="en-US" w:eastAsia="zh-CN" w:bidi="ar-SA"/>
        </w:rPr>
        <w:t>s are</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to be provided later.</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456"/>
        <w:gridCol w:w="839"/>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7" w:type="dxa"/>
            <w:noWrap/>
            <w:vAlign w:val="top"/>
          </w:tcPr>
          <w:p>
            <w:pPr>
              <w:pStyle w:val="33"/>
              <w:rPr>
                <w:rFonts w:hint="default" w:eastAsia="宋体"/>
                <w:lang w:val="en-US" w:eastAsia="zh-CN"/>
              </w:rPr>
            </w:pPr>
            <w:r>
              <w:rPr>
                <w:rFonts w:hint="eastAsia" w:eastAsia="宋体"/>
                <w:lang w:val="en-US" w:eastAsia="zh-CN"/>
              </w:rPr>
              <w:t>Case 6: Multiple tone</w:t>
            </w:r>
          </w:p>
        </w:tc>
        <w:tc>
          <w:tcPr>
            <w:tcW w:w="1456"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S</w:t>
            </w:r>
            <w:r>
              <w:rPr>
                <w:rFonts w:hint="eastAsia" w:eastAsia="宋体"/>
                <w:lang w:eastAsia="ja-JP"/>
              </w:rPr>
              <w:t xml:space="preserve"> [dB]</w:t>
            </w:r>
          </w:p>
        </w:tc>
        <w:tc>
          <w:tcPr>
            <w:tcW w:w="83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840"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MS PGothic" w:cs="Arial"/>
                <w:color w:val="auto"/>
                <w:sz w:val="18"/>
                <w:szCs w:val="18"/>
                <w:highlight w:val="yellow"/>
                <w:lang w:val="en-US" w:eastAsia="ja-JP"/>
              </w:rPr>
              <w:t>40</w:t>
            </w:r>
          </w:p>
        </w:tc>
        <w:tc>
          <w:tcPr>
            <w:tcW w:w="84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宋体" w:cs="Arial"/>
                <w:color w:val="auto"/>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w:t>
            </w:r>
            <w:r>
              <w:rPr>
                <w:rFonts w:hint="eastAsia" w:eastAsia="宋体" w:cs="Times New Roman"/>
                <w:b w:val="0"/>
                <w:bCs/>
                <w:lang w:val="en-US" w:eastAsia="zh-CN"/>
              </w:rPr>
              <w:t>Rural</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18.05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13.15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8.44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4.40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1.92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0.70 </w:t>
            </w:r>
          </w:p>
        </w:tc>
        <w:tc>
          <w:tcPr>
            <w:tcW w:w="840"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0.23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18.74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13.86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9.20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5.21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2.34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0.88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0.30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20.11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15.22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10.54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6.42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3.23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1.40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0.51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0.17 </w:t>
            </w:r>
          </w:p>
        </w:tc>
      </w:tr>
      <w:bookmarkEnd w:id="5"/>
      <w:bookmarkEnd w:id="6"/>
    </w:tbl>
    <w:p>
      <w:pPr>
        <w:pStyle w:val="38"/>
        <w:rPr>
          <w:rFonts w:hint="default" w:ascii="Times New Roman" w:hAnsi="Times New Roman" w:eastAsia="宋体" w:cs="Times New Roman"/>
          <w:b w:val="0"/>
          <w:bCs w:val="0"/>
          <w:kern w:val="2"/>
          <w:sz w:val="21"/>
          <w:szCs w:val="24"/>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456"/>
        <w:gridCol w:w="839"/>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7" w:type="dxa"/>
            <w:noWrap/>
            <w:vAlign w:val="top"/>
          </w:tcPr>
          <w:p>
            <w:pPr>
              <w:pStyle w:val="33"/>
              <w:rPr>
                <w:rFonts w:hint="default" w:eastAsia="宋体"/>
                <w:lang w:val="en-US" w:eastAsia="zh-CN"/>
              </w:rPr>
            </w:pPr>
            <w:r>
              <w:rPr>
                <w:rFonts w:hint="eastAsia" w:eastAsia="宋体"/>
                <w:lang w:val="en-US" w:eastAsia="zh-CN"/>
              </w:rPr>
              <w:t>Case 6: Single tone 15kHz</w:t>
            </w:r>
          </w:p>
        </w:tc>
        <w:tc>
          <w:tcPr>
            <w:tcW w:w="1456"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S</w:t>
            </w:r>
            <w:r>
              <w:rPr>
                <w:rFonts w:hint="eastAsia" w:eastAsia="宋体"/>
                <w:lang w:eastAsia="ja-JP"/>
              </w:rPr>
              <w:t xml:space="preserve"> [dB]</w:t>
            </w:r>
          </w:p>
        </w:tc>
        <w:tc>
          <w:tcPr>
            <w:tcW w:w="83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840"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MS PGothic" w:cs="Arial"/>
                <w:color w:val="auto"/>
                <w:sz w:val="18"/>
                <w:szCs w:val="18"/>
                <w:highlight w:val="yellow"/>
                <w:lang w:val="en-US" w:eastAsia="ja-JP"/>
              </w:rPr>
              <w:t>40</w:t>
            </w:r>
          </w:p>
        </w:tc>
        <w:tc>
          <w:tcPr>
            <w:tcW w:w="84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宋体" w:cs="Arial"/>
                <w:color w:val="auto"/>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w:t>
            </w:r>
            <w:r>
              <w:rPr>
                <w:rFonts w:hint="eastAsia" w:eastAsia="宋体" w:cs="Times New Roman"/>
                <w:b w:val="0"/>
                <w:bCs/>
                <w:lang w:val="en-US" w:eastAsia="zh-CN"/>
              </w:rPr>
              <w:t>Rural</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20.47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15.54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10.77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6.42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3.08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1.30 </w:t>
            </w:r>
          </w:p>
        </w:tc>
        <w:tc>
          <w:tcPr>
            <w:tcW w:w="840"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0.46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20.89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15.96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11.19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6.96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3.50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1.43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0.46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21.89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16.98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12.25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7.96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4.38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1.90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0.70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0.23 </w:t>
            </w:r>
          </w:p>
        </w:tc>
      </w:tr>
    </w:tbl>
    <w:p>
      <w:pPr>
        <w:pStyle w:val="38"/>
        <w:rPr>
          <w:rFonts w:hint="default" w:ascii="Times New Roman" w:hAnsi="Times New Roman" w:eastAsia="宋体" w:cs="Times New Roman"/>
          <w:b w:val="0"/>
          <w:bCs w:val="0"/>
          <w:kern w:val="2"/>
          <w:sz w:val="21"/>
          <w:szCs w:val="24"/>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456"/>
        <w:gridCol w:w="839"/>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7" w:type="dxa"/>
            <w:noWrap/>
            <w:vAlign w:val="top"/>
          </w:tcPr>
          <w:p>
            <w:pPr>
              <w:pStyle w:val="33"/>
              <w:rPr>
                <w:rFonts w:hint="default" w:eastAsia="宋体"/>
                <w:lang w:val="en-US" w:eastAsia="zh-CN"/>
              </w:rPr>
            </w:pPr>
            <w:r>
              <w:rPr>
                <w:rFonts w:hint="eastAsia" w:eastAsia="宋体"/>
                <w:lang w:val="en-US" w:eastAsia="zh-CN"/>
              </w:rPr>
              <w:t>Case 6: Single tone 3.75kHz</w:t>
            </w:r>
          </w:p>
        </w:tc>
        <w:tc>
          <w:tcPr>
            <w:tcW w:w="1456"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S</w:t>
            </w:r>
            <w:r>
              <w:rPr>
                <w:rFonts w:hint="eastAsia" w:eastAsia="宋体"/>
                <w:lang w:eastAsia="ja-JP"/>
              </w:rPr>
              <w:t xml:space="preserve"> [dB]</w:t>
            </w:r>
          </w:p>
        </w:tc>
        <w:tc>
          <w:tcPr>
            <w:tcW w:w="83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840" w:type="dxa"/>
            <w:noWrap/>
            <w:vAlign w:val="center"/>
          </w:tcPr>
          <w:p>
            <w:pPr>
              <w:spacing w:after="0"/>
              <w:jc w:val="center"/>
              <w:rPr>
                <w:rFonts w:hint="default" w:ascii="Arial" w:hAnsi="Arial" w:eastAsia="宋体" w:cs="Arial"/>
                <w:color w:val="auto"/>
                <w:sz w:val="18"/>
                <w:szCs w:val="18"/>
                <w:highlight w:val="yellow"/>
                <w:lang w:val="en-US" w:eastAsia="zh-CN"/>
              </w:rPr>
            </w:pPr>
            <w:r>
              <w:rPr>
                <w:rFonts w:hint="default" w:ascii="Arial" w:hAnsi="Arial" w:eastAsia="宋体" w:cs="Arial"/>
                <w:color w:val="auto"/>
                <w:sz w:val="18"/>
                <w:szCs w:val="18"/>
                <w:highlight w:val="yellow"/>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w:t>
            </w:r>
            <w:r>
              <w:rPr>
                <w:rFonts w:hint="eastAsia" w:eastAsia="宋体" w:cs="Times New Roman"/>
                <w:b w:val="0"/>
                <w:bCs/>
                <w:lang w:val="en-US" w:eastAsia="zh-CN"/>
              </w:rPr>
              <w:t>Rural</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22.97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18.01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13.16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8.59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4.73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2.10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0.78 </w:t>
            </w:r>
          </w:p>
        </w:tc>
        <w:tc>
          <w:tcPr>
            <w:tcW w:w="840"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25.54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20.57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15.65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10.90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6.60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3.28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1.33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31.64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26.65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21.67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16.73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11.93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7.49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3.91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1.65 </w:t>
            </w:r>
          </w:p>
        </w:tc>
      </w:tr>
    </w:tbl>
    <w:p>
      <w:pPr>
        <w:pStyle w:val="38"/>
        <w:rPr>
          <w:rFonts w:hint="default" w:ascii="Times New Roman" w:hAnsi="Times New Roman" w:eastAsia="宋体" w:cs="Times New Roman"/>
          <w:b w:val="0"/>
          <w:bCs w:val="0"/>
          <w:kern w:val="2"/>
          <w:sz w:val="21"/>
          <w:szCs w:val="24"/>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456"/>
        <w:gridCol w:w="839"/>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7" w:type="dxa"/>
            <w:noWrap/>
            <w:vAlign w:val="top"/>
          </w:tcPr>
          <w:p>
            <w:pPr>
              <w:pStyle w:val="33"/>
              <w:rPr>
                <w:rFonts w:hint="default" w:eastAsia="宋体"/>
                <w:lang w:val="en-US" w:eastAsia="zh-CN"/>
              </w:rPr>
            </w:pPr>
            <w:r>
              <w:rPr>
                <w:rFonts w:hint="eastAsia" w:eastAsia="宋体"/>
                <w:lang w:val="en-US" w:eastAsia="zh-CN"/>
              </w:rPr>
              <w:t>Case 6: Multiple tone</w:t>
            </w:r>
          </w:p>
        </w:tc>
        <w:tc>
          <w:tcPr>
            <w:tcW w:w="1456"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S</w:t>
            </w:r>
            <w:r>
              <w:rPr>
                <w:rFonts w:hint="eastAsia" w:eastAsia="宋体"/>
                <w:lang w:eastAsia="ja-JP"/>
              </w:rPr>
              <w:t xml:space="preserve"> [dB]</w:t>
            </w:r>
          </w:p>
        </w:tc>
        <w:tc>
          <w:tcPr>
            <w:tcW w:w="83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840"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MS PGothic" w:cs="Arial"/>
                <w:color w:val="auto"/>
                <w:sz w:val="18"/>
                <w:szCs w:val="18"/>
                <w:highlight w:val="yellow"/>
                <w:lang w:val="en-US" w:eastAsia="ja-JP"/>
              </w:rPr>
              <w:t>35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84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宋体" w:cs="Arial"/>
                <w:color w:val="auto"/>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eastAsia="宋体" w:cs="Times New Roman"/>
                <w:b w:val="0"/>
                <w:bCs/>
                <w:lang w:val="en-US" w:eastAsia="zh-CN"/>
              </w:rPr>
              <w:t>L</w:t>
            </w:r>
            <w:r>
              <w:rPr>
                <w:rFonts w:hint="eastAsia" w:ascii="Arial" w:hAnsi="Arial" w:eastAsia="宋体" w:cs="Times New Roman"/>
                <w:b w:val="0"/>
                <w:bCs/>
                <w:lang w:val="en-US" w:eastAsia="zh-CN"/>
              </w:rPr>
              <w:t>EO</w:t>
            </w:r>
            <w:r>
              <w:rPr>
                <w:rFonts w:hint="eastAsia" w:eastAsia="宋体" w:cs="Times New Roman"/>
                <w:b w:val="0"/>
                <w:bCs/>
                <w:lang w:val="en-US" w:eastAsia="zh-CN"/>
              </w:rPr>
              <w:t>600KM</w:t>
            </w:r>
            <w:r>
              <w:rPr>
                <w:rFonts w:hint="eastAsia" w:ascii="Arial" w:hAnsi="Arial" w:eastAsia="宋体" w:cs="Times New Roman"/>
                <w:b w:val="0"/>
                <w:bCs/>
                <w:lang w:val="en-US" w:eastAsia="zh-CN"/>
              </w:rPr>
              <w:t>_</w:t>
            </w:r>
            <w:r>
              <w:rPr>
                <w:rFonts w:hint="eastAsia" w:eastAsia="宋体" w:cs="Times New Roman"/>
                <w:b w:val="0"/>
                <w:bCs/>
                <w:lang w:val="en-US" w:eastAsia="zh-CN"/>
              </w:rPr>
              <w:t>Rural</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7.72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4.07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1.73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0.63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0.21 </w:t>
            </w:r>
          </w:p>
        </w:tc>
        <w:tc>
          <w:tcPr>
            <w:tcW w:w="840"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0.07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0.02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10.78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6.50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3.22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1.29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0.45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0.15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0.05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15.31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10.58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6.33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3.10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1.24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0.43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0.14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0.05 </w:t>
            </w:r>
          </w:p>
        </w:tc>
      </w:tr>
    </w:tbl>
    <w:p>
      <w:pPr>
        <w:pStyle w:val="38"/>
        <w:rPr>
          <w:rFonts w:hint="default" w:ascii="Times New Roman" w:hAnsi="Times New Roman" w:eastAsia="宋体" w:cs="Times New Roman"/>
          <w:b w:val="0"/>
          <w:bCs w:val="0"/>
          <w:kern w:val="2"/>
          <w:sz w:val="21"/>
          <w:szCs w:val="24"/>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456"/>
        <w:gridCol w:w="839"/>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7" w:type="dxa"/>
            <w:noWrap/>
            <w:vAlign w:val="top"/>
          </w:tcPr>
          <w:p>
            <w:pPr>
              <w:pStyle w:val="33"/>
              <w:rPr>
                <w:rFonts w:hint="default" w:eastAsia="宋体"/>
                <w:lang w:val="en-US" w:eastAsia="zh-CN"/>
              </w:rPr>
            </w:pPr>
            <w:r>
              <w:rPr>
                <w:rFonts w:hint="eastAsia" w:eastAsia="宋体"/>
                <w:lang w:val="en-US" w:eastAsia="zh-CN"/>
              </w:rPr>
              <w:t>Case 6: Single tone 15kHz</w:t>
            </w:r>
          </w:p>
        </w:tc>
        <w:tc>
          <w:tcPr>
            <w:tcW w:w="1456"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S</w:t>
            </w:r>
            <w:r>
              <w:rPr>
                <w:rFonts w:hint="eastAsia" w:eastAsia="宋体"/>
                <w:lang w:eastAsia="ja-JP"/>
              </w:rPr>
              <w:t xml:space="preserve"> [dB]</w:t>
            </w:r>
          </w:p>
        </w:tc>
        <w:tc>
          <w:tcPr>
            <w:tcW w:w="83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840" w:type="dxa"/>
            <w:noWrap/>
            <w:vAlign w:val="center"/>
          </w:tcPr>
          <w:p>
            <w:pPr>
              <w:spacing w:after="0"/>
              <w:jc w:val="center"/>
              <w:rPr>
                <w:rFonts w:hint="default" w:ascii="Arial" w:hAnsi="Arial" w:eastAsia="MS PGothic" w:cs="Arial"/>
                <w:color w:val="auto"/>
                <w:kern w:val="2"/>
                <w:sz w:val="18"/>
                <w:szCs w:val="18"/>
                <w:highlight w:val="yellow"/>
                <w:lang w:val="en-US" w:eastAsia="ja-JP" w:bidi="ar-SA"/>
              </w:rPr>
            </w:pPr>
            <w:r>
              <w:rPr>
                <w:rFonts w:hint="default" w:ascii="Arial" w:hAnsi="Arial" w:eastAsia="MS PGothic" w:cs="Arial"/>
                <w:color w:val="auto"/>
                <w:sz w:val="18"/>
                <w:szCs w:val="18"/>
                <w:highlight w:val="yellow"/>
                <w:lang w:val="en-US" w:eastAsia="ja-JP"/>
              </w:rPr>
              <w:t>40</w:t>
            </w:r>
          </w:p>
        </w:tc>
        <w:tc>
          <w:tcPr>
            <w:tcW w:w="84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宋体" w:cs="Arial"/>
                <w:color w:val="auto"/>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eastAsia="宋体" w:cs="Times New Roman"/>
                <w:b w:val="0"/>
                <w:bCs/>
                <w:lang w:val="en-US" w:eastAsia="zh-CN"/>
              </w:rPr>
              <w:t>L</w:t>
            </w:r>
            <w:r>
              <w:rPr>
                <w:rFonts w:hint="eastAsia" w:ascii="Arial" w:hAnsi="Arial" w:eastAsia="宋体" w:cs="Times New Roman"/>
                <w:b w:val="0"/>
                <w:bCs/>
                <w:lang w:val="en-US" w:eastAsia="zh-CN"/>
              </w:rPr>
              <w:t>EO</w:t>
            </w:r>
            <w:r>
              <w:rPr>
                <w:rFonts w:hint="eastAsia" w:eastAsia="宋体" w:cs="Times New Roman"/>
                <w:b w:val="0"/>
                <w:bCs/>
                <w:lang w:val="en-US" w:eastAsia="zh-CN"/>
              </w:rPr>
              <w:t>600KM</w:t>
            </w:r>
            <w:r>
              <w:rPr>
                <w:rFonts w:hint="eastAsia" w:ascii="Arial" w:hAnsi="Arial" w:eastAsia="宋体" w:cs="Times New Roman"/>
                <w:b w:val="0"/>
                <w:bCs/>
                <w:lang w:val="en-US" w:eastAsia="zh-CN"/>
              </w:rPr>
              <w:t>_</w:t>
            </w:r>
            <w:r>
              <w:rPr>
                <w:rFonts w:hint="eastAsia" w:eastAsia="宋体" w:cs="Times New Roman"/>
                <w:b w:val="0"/>
                <w:bCs/>
                <w:lang w:val="en-US" w:eastAsia="zh-CN"/>
              </w:rPr>
              <w:t>Rural</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12.82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8.29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4.50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1.97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0.72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0.24 </w:t>
            </w:r>
          </w:p>
        </w:tc>
        <w:tc>
          <w:tcPr>
            <w:tcW w:w="840"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0.08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15.90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11.14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6.80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3.42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1.40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0.49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0.16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22.48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17.54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12.70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8.18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4.41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1.92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0.71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0.24 </w:t>
            </w:r>
          </w:p>
        </w:tc>
      </w:tr>
    </w:tbl>
    <w:p>
      <w:pPr>
        <w:pStyle w:val="38"/>
        <w:rPr>
          <w:rFonts w:hint="default" w:ascii="Times New Roman" w:hAnsi="Times New Roman" w:eastAsia="宋体" w:cs="Times New Roman"/>
          <w:b w:val="0"/>
          <w:bCs w:val="0"/>
          <w:kern w:val="2"/>
          <w:sz w:val="21"/>
          <w:szCs w:val="24"/>
          <w:lang w:val="en-US" w:eastAsia="zh-CN" w:bidi="ar-SA"/>
        </w:rPr>
      </w:pP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456"/>
        <w:gridCol w:w="839"/>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7" w:type="dxa"/>
            <w:noWrap/>
            <w:vAlign w:val="top"/>
          </w:tcPr>
          <w:p>
            <w:pPr>
              <w:pStyle w:val="33"/>
              <w:rPr>
                <w:rFonts w:hint="default" w:eastAsia="宋体"/>
                <w:lang w:val="en-US" w:eastAsia="zh-CN"/>
              </w:rPr>
            </w:pPr>
            <w:r>
              <w:rPr>
                <w:rFonts w:hint="eastAsia" w:eastAsia="宋体"/>
                <w:lang w:val="en-US" w:eastAsia="zh-CN"/>
              </w:rPr>
              <w:t>Case 6: Single tone 3.75kHz</w:t>
            </w:r>
          </w:p>
        </w:tc>
        <w:tc>
          <w:tcPr>
            <w:tcW w:w="1456"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S</w:t>
            </w:r>
            <w:r>
              <w:rPr>
                <w:rFonts w:hint="eastAsia" w:eastAsia="宋体"/>
                <w:lang w:eastAsia="ja-JP"/>
              </w:rPr>
              <w:t xml:space="preserve"> [dB]</w:t>
            </w:r>
          </w:p>
        </w:tc>
        <w:tc>
          <w:tcPr>
            <w:tcW w:w="83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840" w:type="dxa"/>
            <w:noWrap/>
            <w:vAlign w:val="center"/>
          </w:tcPr>
          <w:p>
            <w:pPr>
              <w:spacing w:after="0"/>
              <w:jc w:val="center"/>
              <w:rPr>
                <w:rFonts w:hint="default" w:ascii="Arial" w:hAnsi="Arial" w:eastAsia="宋体" w:cs="Arial"/>
                <w:color w:val="auto"/>
                <w:sz w:val="18"/>
                <w:szCs w:val="18"/>
                <w:highlight w:val="yellow"/>
                <w:lang w:val="en-US" w:eastAsia="zh-CN"/>
              </w:rPr>
            </w:pPr>
            <w:r>
              <w:rPr>
                <w:rFonts w:hint="default" w:ascii="Arial" w:hAnsi="Arial" w:eastAsia="宋体" w:cs="Arial"/>
                <w:color w:val="auto"/>
                <w:sz w:val="18"/>
                <w:szCs w:val="18"/>
                <w:highlight w:val="yellow"/>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eastAsia="宋体" w:cs="Times New Roman"/>
                <w:b w:val="0"/>
                <w:bCs/>
                <w:lang w:val="en-US" w:eastAsia="zh-CN"/>
              </w:rPr>
              <w:t>L</w:t>
            </w:r>
            <w:r>
              <w:rPr>
                <w:rFonts w:hint="eastAsia" w:ascii="Arial" w:hAnsi="Arial" w:eastAsia="宋体" w:cs="Times New Roman"/>
                <w:b w:val="0"/>
                <w:bCs/>
                <w:lang w:val="en-US" w:eastAsia="zh-CN"/>
              </w:rPr>
              <w:t>EO</w:t>
            </w:r>
            <w:r>
              <w:rPr>
                <w:rFonts w:hint="eastAsia" w:eastAsia="宋体" w:cs="Times New Roman"/>
                <w:b w:val="0"/>
                <w:bCs/>
                <w:lang w:val="en-US" w:eastAsia="zh-CN"/>
              </w:rPr>
              <w:t>600KM</w:t>
            </w:r>
            <w:r>
              <w:rPr>
                <w:rFonts w:hint="eastAsia" w:ascii="Arial" w:hAnsi="Arial" w:eastAsia="宋体" w:cs="Times New Roman"/>
                <w:b w:val="0"/>
                <w:bCs/>
                <w:lang w:val="en-US" w:eastAsia="zh-CN"/>
              </w:rPr>
              <w:t>_</w:t>
            </w:r>
            <w:r>
              <w:rPr>
                <w:rFonts w:hint="eastAsia" w:eastAsia="宋体" w:cs="Times New Roman"/>
                <w:b w:val="0"/>
                <w:bCs/>
                <w:lang w:val="en-US" w:eastAsia="zh-CN"/>
              </w:rPr>
              <w:t>Rural</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24.62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19.65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14.75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10.05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5.89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2.82 </w:t>
            </w:r>
          </w:p>
        </w:tc>
        <w:tc>
          <w:tcPr>
            <w:tcW w:w="840" w:type="dxa"/>
            <w:noWrap/>
            <w:vAlign w:val="bottom"/>
          </w:tcPr>
          <w:p>
            <w:pPr>
              <w:pStyle w:val="33"/>
              <w:rPr>
                <w:rFonts w:hint="default" w:eastAsia="宋体"/>
                <w:b w:val="0"/>
                <w:bCs/>
                <w:lang w:val="en-US" w:eastAsia="zh-CN"/>
              </w:rPr>
            </w:pPr>
            <w:r>
              <w:rPr>
                <w:rFonts w:hint="eastAsia" w:eastAsia="宋体"/>
                <w:b w:val="0"/>
                <w:bCs/>
                <w:lang w:val="en-US" w:eastAsia="zh-CN"/>
              </w:rPr>
              <w:t xml:space="preserve">1.10 </w:t>
            </w:r>
          </w:p>
        </w:tc>
        <w:tc>
          <w:tcPr>
            <w:tcW w:w="840" w:type="dxa"/>
            <w:noWrap/>
            <w:vAlign w:val="bottom"/>
          </w:tcPr>
          <w:p>
            <w:pPr>
              <w:pStyle w:val="33"/>
              <w:rPr>
                <w:rFonts w:hint="default" w:eastAsia="宋体"/>
                <w:b w:val="0"/>
                <w:bCs/>
                <w:highlight w:val="yellow"/>
                <w:lang w:val="en-US" w:eastAsia="zh-CN"/>
              </w:rPr>
            </w:pPr>
            <w:r>
              <w:rPr>
                <w:rFonts w:hint="eastAsia" w:eastAsia="宋体"/>
                <w:b w:val="0"/>
                <w:bCs/>
                <w:highlight w:val="yellow"/>
                <w:lang w:val="en-US" w:eastAsia="zh-CN"/>
              </w:rPr>
              <w:t xml:space="preserve">0.38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jc w:val="both"/>
              <w:rPr>
                <w:rFonts w:hint="eastAsia" w:eastAsia="宋体"/>
                <w:b w:val="0"/>
                <w:bCs/>
                <w:lang w:val="en-US" w:eastAsia="zh-CN"/>
              </w:rPr>
            </w:pPr>
            <w:r>
              <w:rPr>
                <w:rFonts w:hint="eastAsia" w:eastAsia="宋体"/>
                <w:b w:val="0"/>
                <w:bCs/>
                <w:lang w:val="en-US" w:eastAsia="zh-CN"/>
              </w:rPr>
              <w:t>50%SINR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28.11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23.12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18.17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13.31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8.73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4.83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2.16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0.81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95% SINR loss</w:t>
            </w:r>
          </w:p>
        </w:tc>
        <w:tc>
          <w:tcPr>
            <w:tcW w:w="839" w:type="dxa"/>
            <w:noWrap/>
            <w:vAlign w:val="bottom"/>
          </w:tcPr>
          <w:p>
            <w:pPr>
              <w:pStyle w:val="33"/>
              <w:rPr>
                <w:rFonts w:hint="default" w:eastAsia="宋体"/>
                <w:b w:val="0"/>
                <w:bCs/>
                <w:lang w:val="en-US" w:eastAsia="ja-JP"/>
              </w:rPr>
            </w:pPr>
            <w:r>
              <w:rPr>
                <w:rFonts w:hint="eastAsia" w:eastAsia="宋体"/>
                <w:b w:val="0"/>
                <w:bCs/>
                <w:lang w:val="en-US" w:eastAsia="zh-CN"/>
              </w:rPr>
              <w:t xml:space="preserve">34.77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29.77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24.78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19.81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14.91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10.20 </w:t>
            </w:r>
          </w:p>
        </w:tc>
        <w:tc>
          <w:tcPr>
            <w:tcW w:w="840" w:type="dxa"/>
            <w:noWrap/>
            <w:vAlign w:val="bottom"/>
          </w:tcPr>
          <w:p>
            <w:pPr>
              <w:pStyle w:val="33"/>
              <w:rPr>
                <w:rFonts w:hint="default" w:eastAsia="宋体"/>
                <w:b w:val="0"/>
                <w:bCs/>
                <w:lang w:val="en-US" w:eastAsia="ja-JP"/>
              </w:rPr>
            </w:pPr>
            <w:r>
              <w:rPr>
                <w:rFonts w:hint="eastAsia" w:eastAsia="宋体"/>
                <w:b w:val="0"/>
                <w:bCs/>
                <w:lang w:val="en-US" w:eastAsia="zh-CN"/>
              </w:rPr>
              <w:t xml:space="preserve">6.02 </w:t>
            </w:r>
          </w:p>
        </w:tc>
        <w:tc>
          <w:tcPr>
            <w:tcW w:w="840" w:type="dxa"/>
            <w:noWrap/>
            <w:vAlign w:val="bottom"/>
          </w:tcPr>
          <w:p>
            <w:pPr>
              <w:pStyle w:val="33"/>
              <w:rPr>
                <w:rFonts w:hint="default" w:eastAsia="宋体"/>
                <w:b w:val="0"/>
                <w:bCs/>
                <w:highlight w:val="yellow"/>
                <w:lang w:val="en-US" w:eastAsia="ja-JP"/>
              </w:rPr>
            </w:pPr>
            <w:r>
              <w:rPr>
                <w:rFonts w:hint="eastAsia" w:eastAsia="宋体"/>
                <w:b w:val="0"/>
                <w:bCs/>
                <w:highlight w:val="yellow"/>
                <w:lang w:val="en-US" w:eastAsia="zh-CN"/>
              </w:rPr>
              <w:t xml:space="preserve">2.89 </w:t>
            </w:r>
          </w:p>
        </w:tc>
      </w:tr>
    </w:tbl>
    <w:p>
      <w:pPr>
        <w:pStyle w:val="38"/>
        <w:rPr>
          <w:rFonts w:hint="default" w:ascii="Times New Roman" w:hAnsi="Times New Roman" w:eastAsia="宋体" w:cs="Times New Roman"/>
          <w:b w:val="0"/>
          <w:bCs w:val="0"/>
          <w:kern w:val="2"/>
          <w:sz w:val="21"/>
          <w:szCs w:val="24"/>
          <w:lang w:val="en-US" w:eastAsia="zh-CN" w:bidi="ar-SA"/>
        </w:rPr>
      </w:pPr>
    </w:p>
    <w:p>
      <w:pPr>
        <w:pStyle w:val="38"/>
        <w:numPr>
          <w:ilvl w:val="0"/>
          <w:numId w:val="0"/>
        </w:numPr>
        <w:outlineLvl w:val="9"/>
        <w:rPr>
          <w:rFonts w:hint="default" w:ascii="Times New Roman" w:hAnsi="Times New Roman" w:eastAsia="宋体" w:cs="Times New Roman"/>
          <w:b w:val="0"/>
          <w:bCs w:val="0"/>
          <w:kern w:val="2"/>
          <w:sz w:val="21"/>
          <w:szCs w:val="24"/>
          <w:lang w:val="en-US" w:eastAsia="zh-CN" w:bidi="ar-SA"/>
        </w:rPr>
      </w:pPr>
      <w:r>
        <w:rPr>
          <w:rFonts w:hint="eastAsia" w:cs="Times New Roman"/>
          <w:kern w:val="2"/>
          <w:sz w:val="21"/>
          <w:szCs w:val="21"/>
          <w:highlight w:val="none"/>
          <w:lang w:val="en-US" w:eastAsia="zh-CN" w:bidi="ar-SA"/>
        </w:rPr>
        <w:t>Similar as Case 3, i</w:t>
      </w:r>
      <w:r>
        <w:rPr>
          <w:rFonts w:hint="eastAsia" w:ascii="Times New Roman" w:hAnsi="Times New Roman" w:cs="Times New Roman"/>
          <w:kern w:val="2"/>
          <w:sz w:val="21"/>
          <w:szCs w:val="21"/>
          <w:highlight w:val="none"/>
          <w:lang w:val="en-US" w:eastAsia="zh-CN" w:bidi="ar-SA"/>
        </w:rPr>
        <w:t>t should be noted that</w:t>
      </w:r>
      <w:r>
        <w:rPr>
          <w:rFonts w:hint="eastAsia" w:cs="Times New Roman"/>
          <w:kern w:val="2"/>
          <w:sz w:val="21"/>
          <w:szCs w:val="21"/>
          <w:highlight w:val="none"/>
          <w:lang w:val="en-US" w:eastAsia="zh-CN" w:bidi="ar-SA"/>
        </w:rPr>
        <w:t xml:space="preserve"> </w:t>
      </w:r>
      <w:r>
        <w:rPr>
          <w:rFonts w:hint="eastAsia" w:ascii="Times New Roman" w:hAnsi="Times New Roman" w:eastAsia="宋体" w:cs="Times New Roman"/>
          <w:i w:val="0"/>
          <w:caps w:val="0"/>
          <w:spacing w:val="0"/>
          <w:sz w:val="21"/>
          <w:szCs w:val="21"/>
          <w:highlight w:val="none"/>
          <w:u w:val="none"/>
          <w:shd w:val="clear"/>
        </w:rPr>
        <w:t>pessimistic</w:t>
      </w:r>
      <w:r>
        <w:rPr>
          <w:rFonts w:hint="eastAsia" w:cs="Times New Roman"/>
          <w:i w:val="0"/>
          <w:caps w:val="0"/>
          <w:spacing w:val="0"/>
          <w:sz w:val="21"/>
          <w:szCs w:val="21"/>
          <w:highlight w:val="none"/>
          <w:u w:val="none"/>
          <w:shd w:val="clear"/>
          <w:lang w:val="en-US" w:eastAsia="zh-CN"/>
        </w:rPr>
        <w:t xml:space="preserve"> </w:t>
      </w:r>
      <w:r>
        <w:rPr>
          <w:rFonts w:hint="eastAsia" w:cs="Times New Roman"/>
          <w:kern w:val="2"/>
          <w:sz w:val="21"/>
          <w:szCs w:val="21"/>
          <w:highlight w:val="none"/>
          <w:lang w:val="en-US" w:eastAsia="zh-CN" w:bidi="ar-SA"/>
        </w:rPr>
        <w:t xml:space="preserve">flat ACS is assumed over the adjacent 20MHz TN DL NR carrier, however when its ACS requirement is defined for standalone NB-IoT BS, it should be based on adjacent 180kHz interfering signal instead of 20MHz carrier. Based on the above simulation results, it seems that the legacy ACS requirement 38dBc over adjacent 180kHz carrier is sufficient. </w:t>
      </w:r>
    </w:p>
    <w:p>
      <w:pPr>
        <w:pStyle w:val="36"/>
        <w:tabs>
          <w:tab w:val="left" w:pos="567"/>
          <w:tab w:val="clear" w:pos="1985"/>
        </w:tabs>
        <w:adjustRightInd w:val="0"/>
        <w:ind w:left="510" w:hanging="510"/>
        <w:rPr>
          <w:rFonts w:hint="eastAsia" w:ascii="Arial" w:hAnsi="Arial"/>
          <w:highlight w:val="none"/>
        </w:rPr>
      </w:pPr>
      <w:r>
        <w:rPr>
          <w:rFonts w:ascii="Arial" w:hAnsi="Arial"/>
          <w:highlight w:val="none"/>
        </w:rPr>
        <w:t>Conclusions</w:t>
      </w:r>
    </w:p>
    <w:p>
      <w:pPr>
        <w:pStyle w:val="38"/>
        <w:rPr>
          <w:rFonts w:hint="eastAsia" w:ascii="Times New Roman" w:hAnsi="Times New Roman" w:eastAsia="宋体" w:cs="Times New Roman"/>
          <w:b w:val="0"/>
          <w:bCs w:val="0"/>
          <w:kern w:val="2"/>
          <w:sz w:val="20"/>
          <w:szCs w:val="20"/>
          <w:highlight w:val="none"/>
          <w:vertAlign w:val="baseline"/>
          <w:lang w:val="en-US" w:eastAsia="zh-CN" w:bidi="ar-SA"/>
        </w:rPr>
      </w:pPr>
      <w:r>
        <w:rPr>
          <w:rFonts w:hint="eastAsia" w:ascii="Times New Roman" w:hAnsi="Times New Roman" w:eastAsia="宋体" w:cs="Times New Roman"/>
          <w:b w:val="0"/>
          <w:bCs w:val="0"/>
          <w:kern w:val="2"/>
          <w:sz w:val="20"/>
          <w:szCs w:val="20"/>
          <w:highlight w:val="none"/>
          <w:vertAlign w:val="baseline"/>
          <w:lang w:val="en-US" w:eastAsia="zh-CN" w:bidi="ar-SA"/>
        </w:rPr>
        <w:t xml:space="preserve">In this contribution, we want to share some </w:t>
      </w:r>
      <w:r>
        <w:rPr>
          <w:rFonts w:hint="eastAsia" w:cs="Times New Roman"/>
          <w:b w:val="0"/>
          <w:bCs w:val="0"/>
          <w:kern w:val="2"/>
          <w:sz w:val="20"/>
          <w:szCs w:val="20"/>
          <w:highlight w:val="none"/>
          <w:vertAlign w:val="baseline"/>
          <w:lang w:val="en-US" w:eastAsia="zh-CN" w:bidi="ar-SA"/>
        </w:rPr>
        <w:t>further</w:t>
      </w:r>
      <w:r>
        <w:rPr>
          <w:rFonts w:hint="eastAsia" w:ascii="Times New Roman" w:hAnsi="Times New Roman" w:eastAsia="宋体" w:cs="Times New Roman"/>
          <w:b w:val="0"/>
          <w:bCs w:val="0"/>
          <w:kern w:val="2"/>
          <w:sz w:val="20"/>
          <w:szCs w:val="20"/>
          <w:highlight w:val="none"/>
          <w:vertAlign w:val="baseline"/>
          <w:lang w:val="en-US" w:eastAsia="zh-CN" w:bidi="ar-SA"/>
        </w:rPr>
        <w:t xml:space="preserve"> consideration on simulation results for</w:t>
      </w:r>
      <w:r>
        <w:rPr>
          <w:rFonts w:hint="eastAsia" w:cs="Times New Roman"/>
          <w:b w:val="0"/>
          <w:bCs w:val="0"/>
          <w:kern w:val="2"/>
          <w:sz w:val="20"/>
          <w:szCs w:val="20"/>
          <w:highlight w:val="none"/>
          <w:vertAlign w:val="baseline"/>
          <w:lang w:val="en-US" w:eastAsia="zh-CN" w:bidi="ar-SA"/>
        </w:rPr>
        <w:t xml:space="preserve"> IoT over</w:t>
      </w:r>
      <w:r>
        <w:rPr>
          <w:rFonts w:hint="eastAsia" w:ascii="Times New Roman" w:hAnsi="Times New Roman" w:eastAsia="宋体" w:cs="Times New Roman"/>
          <w:b w:val="0"/>
          <w:bCs w:val="0"/>
          <w:kern w:val="2"/>
          <w:sz w:val="20"/>
          <w:szCs w:val="20"/>
          <w:highlight w:val="none"/>
          <w:vertAlign w:val="baseline"/>
          <w:lang w:val="en-US" w:eastAsia="zh-CN" w:bidi="ar-SA"/>
        </w:rPr>
        <w:t xml:space="preserve"> NTN and TN</w:t>
      </w:r>
      <w:r>
        <w:rPr>
          <w:rFonts w:hint="eastAsia" w:cs="Times New Roman"/>
          <w:b w:val="0"/>
          <w:bCs w:val="0"/>
          <w:kern w:val="2"/>
          <w:sz w:val="20"/>
          <w:szCs w:val="20"/>
          <w:highlight w:val="none"/>
          <w:vertAlign w:val="baseline"/>
          <w:lang w:val="en-US" w:eastAsia="zh-CN" w:bidi="ar-SA"/>
        </w:rPr>
        <w:t xml:space="preserve"> with the effective ACLR for NTN and TN coexistence study</w:t>
      </w:r>
      <w:r>
        <w:rPr>
          <w:rFonts w:hint="eastAsia" w:ascii="Times New Roman" w:hAnsi="Times New Roman" w:eastAsia="宋体" w:cs="Times New Roman"/>
          <w:b w:val="0"/>
          <w:bCs w:val="0"/>
          <w:kern w:val="2"/>
          <w:sz w:val="20"/>
          <w:szCs w:val="20"/>
          <w:highlight w:val="none"/>
          <w:vertAlign w:val="baseline"/>
          <w:lang w:val="en-US" w:eastAsia="zh-CN" w:bidi="ar-SA"/>
        </w:rPr>
        <w:t>.</w:t>
      </w:r>
      <w:r>
        <w:rPr>
          <w:rFonts w:hint="eastAsia" w:cs="Times New Roman"/>
          <w:b w:val="0"/>
          <w:bCs w:val="0"/>
          <w:kern w:val="2"/>
          <w:sz w:val="20"/>
          <w:szCs w:val="20"/>
          <w:highlight w:val="none"/>
          <w:vertAlign w:val="baseline"/>
          <w:lang w:val="en-US" w:eastAsia="zh-CN" w:bidi="ar-SA"/>
        </w:rPr>
        <w:t xml:space="preserve"> P</w:t>
      </w:r>
      <w:r>
        <w:rPr>
          <w:rFonts w:hint="eastAsia" w:ascii="Times New Roman" w:hAnsi="Times New Roman" w:eastAsia="宋体" w:cs="Times New Roman"/>
          <w:b w:val="0"/>
          <w:bCs w:val="0"/>
          <w:kern w:val="2"/>
          <w:sz w:val="20"/>
          <w:szCs w:val="20"/>
          <w:highlight w:val="none"/>
          <w:vertAlign w:val="baseline"/>
          <w:lang w:val="en-US" w:eastAsia="zh-CN" w:bidi="ar-SA"/>
        </w:rPr>
        <w:t>roposals are made as following:</w:t>
      </w:r>
    </w:p>
    <w:p>
      <w:pPr>
        <w:autoSpaceDE/>
        <w:autoSpaceDN/>
        <w:adjustRightInd/>
        <w:snapToGrid/>
        <w:spacing w:before="0" w:beforeLines="-2147483648" w:after="0" w:afterLines="-2147483648" w:line="240" w:lineRule="auto"/>
        <w:jc w:val="left"/>
        <w:rPr>
          <w:rFonts w:hint="eastAsia" w:cs="Times New Roman"/>
          <w:b/>
          <w:bCs/>
          <w:sz w:val="22"/>
          <w:szCs w:val="22"/>
          <w:lang w:val="en-US" w:eastAsia="zh-CN"/>
        </w:rPr>
      </w:pPr>
      <w:r>
        <w:rPr>
          <w:rFonts w:hint="eastAsia" w:ascii="Times New Roman" w:hAnsi="Times New Roman" w:cs="Times New Roman"/>
          <w:b/>
          <w:bCs/>
          <w:sz w:val="22"/>
          <w:szCs w:val="22"/>
          <w:lang w:val="en-US" w:eastAsia="zh-CN"/>
        </w:rPr>
        <w:t xml:space="preserve">Proposal </w:t>
      </w:r>
      <w:r>
        <w:rPr>
          <w:rFonts w:hint="eastAsia" w:cs="Times New Roman"/>
          <w:b/>
          <w:bCs/>
          <w:sz w:val="22"/>
          <w:szCs w:val="22"/>
          <w:lang w:val="en-US" w:eastAsia="zh-CN"/>
        </w:rPr>
        <w:t>1</w:t>
      </w:r>
      <w:r>
        <w:rPr>
          <w:rFonts w:hint="eastAsia" w:ascii="Times New Roman" w:hAnsi="Times New Roman" w:cs="Times New Roman"/>
          <w:b/>
          <w:bCs/>
          <w:sz w:val="22"/>
          <w:szCs w:val="22"/>
          <w:lang w:val="en-US" w:eastAsia="zh-CN"/>
        </w:rPr>
        <w:t>:</w:t>
      </w:r>
      <w:r>
        <w:rPr>
          <w:rFonts w:hint="eastAsia" w:cs="Times New Roman"/>
          <w:b w:val="0"/>
          <w:bCs w:val="0"/>
          <w:sz w:val="22"/>
          <w:szCs w:val="22"/>
          <w:lang w:val="en-US" w:eastAsia="zh-CN"/>
        </w:rPr>
        <w:t>for NTN NB1/NB2 UE, to reuse the TN NB-IoT UE ACLR/ACS requirements;</w:t>
      </w:r>
    </w:p>
    <w:p>
      <w:pPr>
        <w:autoSpaceDE/>
        <w:autoSpaceDN/>
        <w:adjustRightInd/>
        <w:snapToGrid/>
        <w:spacing w:before="0" w:beforeLines="-2147483648" w:after="0" w:afterLines="-2147483648" w:line="240" w:lineRule="auto"/>
        <w:jc w:val="left"/>
        <w:rPr>
          <w:rFonts w:hint="default" w:cs="Times New Roman"/>
          <w:b w:val="0"/>
          <w:bCs w:val="0"/>
          <w:sz w:val="22"/>
          <w:szCs w:val="22"/>
          <w:lang w:val="en-US" w:eastAsia="zh-CN"/>
        </w:rPr>
      </w:pPr>
      <w:r>
        <w:rPr>
          <w:rFonts w:hint="eastAsia" w:cs="Times New Roman"/>
          <w:b/>
          <w:bCs/>
          <w:sz w:val="22"/>
          <w:szCs w:val="22"/>
          <w:lang w:val="en-US" w:eastAsia="zh-CN"/>
        </w:rPr>
        <w:t xml:space="preserve">Proposal 2: </w:t>
      </w:r>
      <w:r>
        <w:rPr>
          <w:rFonts w:hint="eastAsia" w:cs="Times New Roman"/>
          <w:b w:val="0"/>
          <w:bCs w:val="0"/>
          <w:sz w:val="22"/>
          <w:szCs w:val="22"/>
          <w:lang w:val="en-US" w:eastAsia="zh-CN"/>
        </w:rPr>
        <w:t>for NTN SAN BS, to reuse the Rel-17 NR NTN SAN ACLR/ACS requirements;</w:t>
      </w:r>
      <w:r>
        <w:rPr>
          <w:rFonts w:hint="eastAsia" w:ascii="Times New Roman" w:hAnsi="Times New Roman" w:cs="Times New Roman"/>
          <w:b w:val="0"/>
          <w:bCs w:val="0"/>
          <w:sz w:val="22"/>
          <w:szCs w:val="22"/>
          <w:lang w:val="en-US" w:eastAsia="zh-CN"/>
        </w:rPr>
        <w:t xml:space="preserve"> </w:t>
      </w:r>
    </w:p>
    <w:p>
      <w:pPr>
        <w:pStyle w:val="36"/>
        <w:tabs>
          <w:tab w:val="left" w:pos="567"/>
          <w:tab w:val="clear" w:pos="1985"/>
        </w:tabs>
        <w:adjustRightInd w:val="0"/>
        <w:ind w:left="510" w:hanging="510"/>
        <w:rPr>
          <w:rFonts w:hint="eastAsia"/>
          <w:highlight w:val="none"/>
        </w:rPr>
      </w:pPr>
      <w:r>
        <w:rPr>
          <w:highlight w:val="none"/>
        </w:rPr>
        <w:t>References</w:t>
      </w:r>
    </w:p>
    <w:p>
      <w:pPr>
        <w:numPr>
          <w:ilvl w:val="0"/>
          <w:numId w:val="3"/>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RP-221556, WID on NB-IoT/eMTC core &amp; performance requirements for NTN.</w:t>
      </w:r>
    </w:p>
    <w:p>
      <w:pPr>
        <w:numPr>
          <w:ilvl w:val="0"/>
          <w:numId w:val="3"/>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R1-2200042, LS on DL synchronization enhancements for IoT NTN, RAN1 (Jan-22)</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trike w:val="0"/>
          <w:dstrike w:val="0"/>
          <w:sz w:val="20"/>
          <w:szCs w:val="20"/>
          <w:highlight w:val="none"/>
          <w:vertAlign w:val="baseline"/>
          <w:lang w:val="en-US" w:eastAsia="zh-CN" w:bidi="ar-SA"/>
        </w:rPr>
        <w:t>TR 36.802,Technical Report for BS and UE radio transmission and reception.</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cs="Times New Roman"/>
          <w:b w:val="0"/>
          <w:bCs w:val="0"/>
          <w:strike w:val="0"/>
          <w:dstrike w:val="0"/>
          <w:sz w:val="20"/>
          <w:szCs w:val="20"/>
          <w:highlight w:val="none"/>
          <w:vertAlign w:val="baseline"/>
          <w:lang w:val="en-US" w:eastAsia="zh-CN" w:bidi="ar-SA"/>
        </w:rPr>
        <w:t>TR 38.863</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trike w:val="0"/>
          <w:dstrike w:val="0"/>
          <w:sz w:val="20"/>
          <w:szCs w:val="20"/>
          <w:highlight w:val="none"/>
          <w:vertAlign w:val="baseline"/>
          <w:lang w:val="en-US" w:eastAsia="zh-CN" w:bidi="ar-SA"/>
        </w:rPr>
        <w:fldChar w:fldCharType="begin"/>
      </w:r>
      <w:r>
        <w:rPr>
          <w:rFonts w:hint="eastAsia" w:ascii="Times New Roman" w:hAnsi="Times New Roman" w:eastAsia="宋体" w:cs="Times New Roman"/>
          <w:b w:val="0"/>
          <w:bCs w:val="0"/>
          <w:strike w:val="0"/>
          <w:dstrike w:val="0"/>
          <w:sz w:val="20"/>
          <w:szCs w:val="20"/>
          <w:highlight w:val="none"/>
          <w:vertAlign w:val="baseline"/>
          <w:lang w:val="en-US" w:eastAsia="zh-CN" w:bidi="ar-SA"/>
        </w:rPr>
        <w:instrText xml:space="preserve"> HYPERLINK "https://www.3gpp.org/ftp/tsg_ran/WG4_Radio/TSGR4_104-e/Inbox/R4-2214381.zip" \t "_blank" </w:instrText>
      </w:r>
      <w:r>
        <w:rPr>
          <w:rFonts w:hint="eastAsia" w:ascii="Times New Roman" w:hAnsi="Times New Roman" w:eastAsia="宋体" w:cs="Times New Roman"/>
          <w:b w:val="0"/>
          <w:bCs w:val="0"/>
          <w:strike w:val="0"/>
          <w:dstrike w:val="0"/>
          <w:sz w:val="20"/>
          <w:szCs w:val="20"/>
          <w:highlight w:val="none"/>
          <w:vertAlign w:val="baseline"/>
          <w:lang w:val="en-US" w:eastAsia="zh-CN" w:bidi="ar-SA"/>
        </w:rPr>
        <w:fldChar w:fldCharType="separate"/>
      </w:r>
      <w:r>
        <w:rPr>
          <w:rFonts w:hint="eastAsia" w:ascii="Times New Roman" w:hAnsi="Times New Roman" w:eastAsia="宋体" w:cs="Times New Roman"/>
          <w:b w:val="0"/>
          <w:bCs w:val="0"/>
          <w:strike w:val="0"/>
          <w:dstrike w:val="0"/>
          <w:sz w:val="20"/>
          <w:szCs w:val="20"/>
          <w:highlight w:val="none"/>
          <w:vertAlign w:val="baseline"/>
          <w:lang w:val="en-US" w:eastAsia="zh-CN" w:bidi="ar-SA"/>
        </w:rPr>
        <w:t>R4-2214381</w:t>
      </w:r>
      <w:r>
        <w:rPr>
          <w:rFonts w:hint="eastAsia" w:ascii="Times New Roman" w:hAnsi="Times New Roman" w:eastAsia="宋体" w:cs="Times New Roman"/>
          <w:b w:val="0"/>
          <w:bCs w:val="0"/>
          <w:strike w:val="0"/>
          <w:dstrike w:val="0"/>
          <w:sz w:val="20"/>
          <w:szCs w:val="20"/>
          <w:highlight w:val="none"/>
          <w:vertAlign w:val="baseline"/>
          <w:lang w:val="en-US" w:eastAsia="zh-CN" w:bidi="ar-SA"/>
        </w:rPr>
        <w:fldChar w:fldCharType="end"/>
      </w:r>
      <w:r>
        <w:rPr>
          <w:rFonts w:hint="eastAsia" w:ascii="Times New Roman" w:hAnsi="Times New Roman" w:eastAsia="宋体" w:cs="Times New Roman"/>
          <w:b w:val="0"/>
          <w:bCs w:val="0"/>
          <w:strike w:val="0"/>
          <w:dstrike w:val="0"/>
          <w:sz w:val="20"/>
          <w:szCs w:val="20"/>
          <w:highlight w:val="none"/>
          <w:vertAlign w:val="baseline"/>
          <w:lang w:val="en-US" w:eastAsia="zh-CN" w:bidi="ar-SA"/>
        </w:rPr>
        <w:t>,WF on coexistence study for IoT over NTN, MTK, approved.</w:t>
      </w:r>
    </w:p>
    <w:p>
      <w:pPr>
        <w:keepNext w:val="0"/>
        <w:keepLines w:val="0"/>
        <w:pageBreakBefore w:val="0"/>
        <w:widowControl/>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cs="Times New Roman"/>
          <w:b w:val="0"/>
          <w:sz w:val="20"/>
          <w:szCs w:val="20"/>
          <w:highlight w:val="none"/>
          <w:u w:val="none"/>
        </w:rPr>
        <w:t xml:space="preserve">R4-2217473 </w:t>
      </w:r>
      <w:r>
        <w:rPr>
          <w:rFonts w:hint="eastAsia" w:ascii="Times New Roman" w:hAnsi="Times New Roman" w:cs="Times New Roman"/>
          <w:b w:val="0"/>
          <w:sz w:val="20"/>
          <w:szCs w:val="20"/>
          <w:highlight w:val="none"/>
        </w:rPr>
        <w:t>WF on co-existence assumption f</w:t>
      </w:r>
      <w:r>
        <w:rPr>
          <w:rFonts w:hint="eastAsia" w:ascii="Times New Roman" w:hAnsi="Times New Roman" w:cs="Times New Roman"/>
          <w:b w:val="0"/>
          <w:sz w:val="20"/>
          <w:szCs w:val="20"/>
          <w:highlight w:val="none"/>
          <w:lang w:eastAsia="zh-CN"/>
        </w:rPr>
        <w:t>o</w:t>
      </w:r>
      <w:r>
        <w:rPr>
          <w:rFonts w:hint="eastAsia" w:ascii="Times New Roman" w:hAnsi="Times New Roman" w:cs="Times New Roman"/>
          <w:b w:val="0"/>
          <w:sz w:val="20"/>
          <w:szCs w:val="20"/>
          <w:highlight w:val="none"/>
        </w:rPr>
        <w:t>r IoT over NTN</w:t>
      </w:r>
      <w:r>
        <w:rPr>
          <w:rFonts w:hint="eastAsia" w:ascii="Times New Roman" w:hAnsi="Times New Roman" w:cs="Times New Roman"/>
          <w:b w:val="0"/>
          <w:sz w:val="20"/>
          <w:szCs w:val="20"/>
          <w:highlight w:val="none"/>
          <w:lang w:val="en-US" w:eastAsia="zh-CN"/>
        </w:rPr>
        <w:t>, MTK, approved.</w:t>
      </w:r>
    </w:p>
    <w:p>
      <w:pPr>
        <w:pStyle w:val="36"/>
        <w:tabs>
          <w:tab w:val="left" w:pos="567"/>
          <w:tab w:val="clear" w:pos="1985"/>
        </w:tabs>
        <w:adjustRightInd w:val="0"/>
        <w:ind w:left="510" w:hanging="510"/>
        <w:rPr>
          <w:rFonts w:hint="eastAsia"/>
          <w:highlight w:val="none"/>
          <w:lang w:val="en-US" w:eastAsia="zh-CN"/>
        </w:rPr>
      </w:pPr>
      <w:r>
        <w:rPr>
          <w:rFonts w:hint="eastAsia"/>
          <w:highlight w:val="none"/>
          <w:lang w:val="en-US" w:eastAsia="zh-CN"/>
        </w:rPr>
        <w:t>Appendix for simulation</w:t>
      </w:r>
    </w:p>
    <w:p>
      <w:pPr>
        <w:pStyle w:val="38"/>
        <w:keepNext w:val="0"/>
        <w:keepLines w:val="0"/>
        <w:pageBreakBefore w:val="0"/>
        <w:widowControl w:val="0"/>
        <w:numPr>
          <w:ilvl w:val="0"/>
          <w:numId w:val="0"/>
        </w:numPr>
        <w:kinsoku/>
        <w:wordWrap/>
        <w:overflowPunct/>
        <w:topLinePunct w:val="0"/>
        <w:autoSpaceDE/>
        <w:autoSpaceDN/>
        <w:bidi w:val="0"/>
        <w:adjustRightInd/>
        <w:snapToGrid/>
        <w:spacing w:before="313" w:beforeLines="100" w:after="157" w:afterLines="50"/>
        <w:ind w:leftChars="0"/>
        <w:textAlignment w:val="auto"/>
        <w:outlineLvl w:val="1"/>
        <w:rPr>
          <w:rFonts w:hint="default" w:ascii="Arial" w:hAnsi="Arial" w:cs="Arial"/>
          <w:b w:val="0"/>
          <w:bCs w:val="0"/>
          <w:kern w:val="2"/>
          <w:sz w:val="32"/>
          <w:szCs w:val="32"/>
          <w:highlight w:val="none"/>
          <w:lang w:val="en-US" w:eastAsia="zh-CN" w:bidi="ar-SA"/>
        </w:rPr>
      </w:pPr>
      <w:r>
        <w:rPr>
          <w:rFonts w:hint="eastAsia" w:ascii="Arial" w:hAnsi="Arial" w:cs="Arial"/>
          <w:b w:val="0"/>
          <w:bCs w:val="0"/>
          <w:sz w:val="32"/>
          <w:szCs w:val="32"/>
          <w:lang w:val="en-US" w:eastAsia="zh-CN"/>
        </w:rPr>
        <w:t xml:space="preserve">6.1  </w:t>
      </w:r>
      <w:r>
        <w:rPr>
          <w:rFonts w:hint="default" w:ascii="Arial" w:hAnsi="Arial" w:cs="Arial"/>
          <w:b w:val="0"/>
          <w:bCs w:val="0"/>
          <w:sz w:val="32"/>
          <w:szCs w:val="32"/>
        </w:rPr>
        <w:t>Co-existence simulation scenario</w:t>
      </w:r>
    </w:p>
    <w:p>
      <w:pPr>
        <w:rPr>
          <w:rFonts w:hint="default" w:eastAsiaTheme="minorEastAsia"/>
          <w:lang w:val="en-US" w:eastAsia="zh-CN"/>
        </w:rPr>
      </w:pPr>
      <w:r>
        <w:t xml:space="preserve">The aggressor and victim combinations are </w:t>
      </w:r>
      <w:r>
        <w:rPr>
          <w:rFonts w:hint="eastAsia"/>
          <w:lang w:eastAsia="zh-CN"/>
        </w:rPr>
        <w:t>listed</w:t>
      </w:r>
      <w:r>
        <w:t xml:space="preserve"> in Table 6.1-2.</w:t>
      </w:r>
    </w:p>
    <w:p>
      <w:pPr>
        <w:pStyle w:val="46"/>
        <w:rPr>
          <w:rFonts w:hint="eastAsia"/>
          <w:lang w:val="zh-CN"/>
        </w:rPr>
      </w:pPr>
      <w:r>
        <w:rPr>
          <w:lang w:val="zh-CN"/>
        </w:rPr>
        <w:t>T</w:t>
      </w:r>
      <w:r>
        <w:rPr>
          <w:rFonts w:hint="eastAsia"/>
          <w:lang w:val="zh-CN"/>
        </w:rPr>
        <w:t xml:space="preserve">able </w:t>
      </w:r>
      <w:r>
        <w:rPr>
          <w:lang w:val="zh-CN"/>
        </w:rPr>
        <w:t>6</w:t>
      </w:r>
      <w:r>
        <w:rPr>
          <w:rFonts w:hint="eastAsia"/>
          <w:lang w:val="zh-CN"/>
        </w:rPr>
        <w:t>.1-2</w:t>
      </w:r>
      <w:r>
        <w:t>:</w:t>
      </w:r>
      <w:r>
        <w:rPr>
          <w:rFonts w:hint="eastAsia"/>
          <w:lang w:val="zh-CN"/>
        </w:rPr>
        <w:t xml:space="preserve"> Aggressor and victim</w:t>
      </w:r>
    </w:p>
    <w:tbl>
      <w:tblPr>
        <w:tblStyle w:val="23"/>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28" w:type="dxa"/>
          <w:left w:w="57" w:type="dxa"/>
          <w:bottom w:w="28" w:type="dxa"/>
          <w:right w:w="57" w:type="dxa"/>
        </w:tblCellMar>
      </w:tblPr>
      <w:tblGrid>
        <w:gridCol w:w="387"/>
        <w:gridCol w:w="1213"/>
        <w:gridCol w:w="1367"/>
        <w:gridCol w:w="1391"/>
        <w:gridCol w:w="3624"/>
        <w:gridCol w:w="18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hint="eastAsia" w:eastAsia="宋体"/>
                <w:sz w:val="18"/>
                <w:szCs w:val="15"/>
              </w:rPr>
              <w:t>No.</w:t>
            </w:r>
          </w:p>
        </w:tc>
        <w:tc>
          <w:tcPr>
            <w:tcW w:w="615"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eastAsia="宋体"/>
                <w:sz w:val="18"/>
                <w:szCs w:val="15"/>
              </w:rPr>
              <w:t>C</w:t>
            </w:r>
            <w:r>
              <w:rPr>
                <w:rFonts w:hint="eastAsia" w:eastAsia="宋体"/>
                <w:sz w:val="18"/>
                <w:szCs w:val="15"/>
              </w:rPr>
              <w:t>ombination</w:t>
            </w:r>
          </w:p>
        </w:tc>
        <w:tc>
          <w:tcPr>
            <w:tcW w:w="693"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rPr>
            </w:pPr>
            <w:r>
              <w:rPr>
                <w:rFonts w:hint="eastAsia" w:eastAsia="宋体"/>
                <w:b/>
                <w:bCs/>
                <w:sz w:val="18"/>
                <w:szCs w:val="15"/>
              </w:rPr>
              <w:t>Aggressor</w:t>
            </w:r>
          </w:p>
        </w:tc>
        <w:tc>
          <w:tcPr>
            <w:tcW w:w="705" w:type="pct"/>
            <w:shd w:val="clear" w:color="auto" w:fill="DBE5F1"/>
            <w:noWrap w:val="0"/>
            <w:vAlign w:val="center"/>
          </w:tcPr>
          <w:p>
            <w:pPr>
              <w:snapToGrid w:val="0"/>
              <w:spacing w:after="0"/>
              <w:jc w:val="center"/>
              <w:rPr>
                <w:rFonts w:eastAsia="宋体"/>
                <w:sz w:val="18"/>
                <w:szCs w:val="15"/>
              </w:rPr>
            </w:pPr>
            <w:r>
              <w:rPr>
                <w:rFonts w:hint="eastAsia" w:eastAsia="宋体"/>
                <w:b/>
                <w:bCs/>
                <w:sz w:val="18"/>
                <w:szCs w:val="15"/>
              </w:rPr>
              <w:t>Victim</w:t>
            </w:r>
          </w:p>
        </w:tc>
        <w:tc>
          <w:tcPr>
            <w:tcW w:w="1837" w:type="pct"/>
            <w:shd w:val="clear" w:color="auto" w:fill="DBE5F1"/>
            <w:noWrap w:val="0"/>
            <w:vAlign w:val="top"/>
          </w:tcPr>
          <w:p>
            <w:pPr>
              <w:snapToGrid w:val="0"/>
              <w:spacing w:after="0"/>
              <w:jc w:val="center"/>
              <w:rPr>
                <w:rFonts w:eastAsia="宋体"/>
                <w:sz w:val="18"/>
                <w:szCs w:val="15"/>
              </w:rPr>
            </w:pPr>
            <w:r>
              <w:rPr>
                <w:rFonts w:hint="eastAsia" w:eastAsia="宋体"/>
                <w:sz w:val="18"/>
                <w:szCs w:val="15"/>
              </w:rPr>
              <w:t>Notes</w:t>
            </w:r>
          </w:p>
        </w:tc>
        <w:tc>
          <w:tcPr>
            <w:tcW w:w="952" w:type="pct"/>
            <w:shd w:val="clear" w:color="auto" w:fill="DBE5F1"/>
            <w:noWrap w:val="0"/>
            <w:vAlign w:val="top"/>
          </w:tcPr>
          <w:p>
            <w:pPr>
              <w:snapToGrid w:val="0"/>
              <w:spacing w:after="0"/>
              <w:jc w:val="center"/>
              <w:rPr>
                <w:rFonts w:eastAsia="宋体"/>
                <w:sz w:val="18"/>
                <w:szCs w:val="15"/>
                <w:lang w:eastAsia="zh-CN"/>
              </w:rPr>
            </w:pPr>
            <w:r>
              <w:rPr>
                <w:rFonts w:eastAsia="宋体"/>
                <w:sz w:val="18"/>
                <w:szCs w:val="15"/>
                <w:lang w:eastAsia="zh-CN"/>
              </w:rPr>
              <w:t xml:space="preserve">Study </w:t>
            </w:r>
            <w:r>
              <w:rPr>
                <w:rFonts w:hint="eastAsia" w:eastAsia="宋体"/>
                <w:sz w:val="18"/>
                <w:szCs w:val="15"/>
                <w:lang w:eastAsia="zh-CN"/>
              </w:rPr>
              <w:t>P</w:t>
            </w:r>
            <w:r>
              <w:rPr>
                <w:rFonts w:eastAsia="宋体"/>
                <w:sz w:val="18"/>
                <w:szCs w:val="15"/>
                <w:lang w:eastAsia="zh-CN"/>
              </w:rPr>
              <w:t>hase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1</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NTN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yellow"/>
                <w:lang w:val="en-GB" w:eastAsia="zh-CN" w:bidi="ar-SA"/>
              </w:rPr>
            </w:pPr>
            <w:r>
              <w:rPr>
                <w:rFonts w:eastAsia="Yu Mincho"/>
                <w:highlight w:val="yellow"/>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yellow"/>
                <w:lang w:eastAsia="zh-CN"/>
              </w:rPr>
            </w:pPr>
            <w:r>
              <w:rPr>
                <w:rFonts w:eastAsia="宋体"/>
                <w:sz w:val="18"/>
                <w:szCs w:val="15"/>
                <w:highlight w:val="yellow"/>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yellow"/>
              </w:rPr>
            </w:pPr>
            <w:r>
              <w:rPr>
                <w:rFonts w:hint="eastAsia" w:eastAsia="宋体"/>
                <w:sz w:val="18"/>
                <w:szCs w:val="15"/>
                <w:highlight w:val="yellow"/>
              </w:rPr>
              <w:t>2</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NTN U</w:t>
            </w:r>
            <w:r>
              <w:rPr>
                <w:rFonts w:eastAsia="Yu Mincho"/>
                <w:highlight w:val="yellow"/>
              </w:rPr>
              <w:t>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yellow"/>
                <w:lang w:val="en-GB" w:eastAsia="en-US" w:bidi="ar-SA"/>
              </w:rPr>
            </w:pPr>
            <w:r>
              <w:rPr>
                <w:rFonts w:eastAsia="Yu Mincho"/>
                <w:highlight w:val="yellow"/>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yellow"/>
                <w:lang w:eastAsia="zh-CN"/>
              </w:rPr>
            </w:pPr>
            <w:r>
              <w:rPr>
                <w:rFonts w:hint="eastAsia" w:eastAsia="宋体"/>
                <w:sz w:val="18"/>
                <w:szCs w:val="15"/>
                <w:highlight w:val="yellow"/>
                <w:lang w:eastAsia="zh-CN"/>
              </w:rPr>
              <w:t>P</w:t>
            </w:r>
            <w:r>
              <w:rPr>
                <w:rFonts w:eastAsia="宋体"/>
                <w:sz w:val="18"/>
                <w:szCs w:val="15"/>
                <w:highlight w:val="yellow"/>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3</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en-US"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hint="eastAsia" w:eastAsia="宋体"/>
                <w:sz w:val="18"/>
                <w:szCs w:val="15"/>
                <w:highlight w:val="none"/>
                <w:lang w:eastAsia="zh-CN"/>
              </w:rPr>
              <w:t>P</w:t>
            </w:r>
            <w:r>
              <w:rPr>
                <w:rFonts w:eastAsia="宋体"/>
                <w:sz w:val="18"/>
                <w:szCs w:val="15"/>
                <w:highlight w:val="none"/>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4</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UL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zh-CN"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eastAsia="宋体"/>
                <w:sz w:val="18"/>
                <w:szCs w:val="15"/>
                <w:highlight w:val="none"/>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hint="eastAsia" w:ascii="Times New Roman" w:hAnsi="Times New Roman" w:eastAsia="宋体" w:cs="Times New Roman"/>
                <w:sz w:val="18"/>
                <w:szCs w:val="15"/>
                <w:lang w:eastAsia="zh-CN"/>
              </w:rPr>
            </w:pPr>
            <w:r>
              <w:rPr>
                <w:rFonts w:hint="eastAsia" w:ascii="Times New Roman" w:hAnsi="Times New Roman" w:eastAsia="宋体" w:cs="Times New Roman"/>
                <w:sz w:val="18"/>
                <w:szCs w:val="15"/>
                <w:lang w:eastAsia="zh-CN"/>
              </w:rPr>
              <w:t>5</w:t>
            </w:r>
          </w:p>
        </w:tc>
        <w:tc>
          <w:tcPr>
            <w:tcW w:w="615" w:type="pct"/>
            <w:shd w:val="clear" w:color="auto" w:fill="DBE5F1"/>
            <w:noWrap w:val="0"/>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TN DL</w:t>
            </w:r>
          </w:p>
        </w:tc>
        <w:tc>
          <w:tcPr>
            <w:tcW w:w="1837" w:type="pct"/>
            <w:noWrap w:val="0"/>
            <w:vAlign w:val="top"/>
          </w:tcPr>
          <w:p>
            <w:pPr>
              <w:pStyle w:val="35"/>
              <w:overflowPunct w:val="0"/>
              <w:autoSpaceDE w:val="0"/>
              <w:autoSpaceDN w:val="0"/>
              <w:adjustRightInd w:val="0"/>
              <w:textAlignment w:val="baseline"/>
              <w:rPr>
                <w:rFonts w:hint="eastAsia"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band,</w:t>
            </w:r>
            <w:r>
              <w:rPr>
                <w:rFonts w:eastAsia="Yu Mincho"/>
              </w:rPr>
              <w:t xml:space="preserve"> for</w:t>
            </w:r>
            <w:r>
              <w:rPr>
                <w:rFonts w:hint="eastAsia" w:eastAsia="Yu Mincho"/>
              </w:rPr>
              <w:t xml:space="preserve"> 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hint="eastAsia" w:ascii="Times New Roman" w:hAnsi="Times New Roman" w:eastAsia="宋体" w:cs="Times New Roman"/>
                <w:sz w:val="18"/>
                <w:szCs w:val="15"/>
                <w:lang w:eastAsia="zh-CN"/>
              </w:rPr>
            </w:pPr>
            <w:r>
              <w:rPr>
                <w:rFonts w:hint="eastAsia" w:ascii="Times New Roman" w:hAnsi="Times New Roman" w:eastAsia="宋体" w:cs="Times New Roman"/>
                <w:sz w:val="18"/>
                <w:szCs w:val="15"/>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lang w:eastAsia="zh-CN"/>
              </w:rPr>
            </w:pPr>
            <w:r>
              <w:rPr>
                <w:rFonts w:hint="eastAsia" w:eastAsia="宋体"/>
                <w:sz w:val="18"/>
                <w:szCs w:val="15"/>
                <w:lang w:eastAsia="zh-CN"/>
              </w:rPr>
              <w:t>6</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NTN UL</w:t>
            </w:r>
          </w:p>
        </w:tc>
        <w:tc>
          <w:tcPr>
            <w:tcW w:w="1837" w:type="pct"/>
            <w:noWrap w:val="0"/>
            <w:vAlign w:val="top"/>
          </w:tcPr>
          <w:p>
            <w:pPr>
              <w:pStyle w:val="35"/>
              <w:overflowPunct w:val="0"/>
              <w:autoSpaceDE w:val="0"/>
              <w:autoSpaceDN w:val="0"/>
              <w:adjustRightInd w:val="0"/>
              <w:textAlignment w:val="baseline"/>
              <w:rPr>
                <w:rFonts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 xml:space="preserve">band, </w:t>
            </w:r>
            <w:r>
              <w:rPr>
                <w:rFonts w:eastAsia="Yu Mincho"/>
              </w:rPr>
              <w:t xml:space="preserve">for </w:t>
            </w:r>
            <w:r>
              <w:rPr>
                <w:rFonts w:hint="eastAsia" w:eastAsia="Yu Mincho"/>
              </w:rPr>
              <w:t xml:space="preserve">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eastAsia="宋体"/>
                <w:sz w:val="18"/>
                <w:szCs w:val="15"/>
                <w:lang w:eastAsia="zh-CN"/>
              </w:rPr>
            </w:pPr>
            <w:r>
              <w:rPr>
                <w:rFonts w:hint="eastAsia" w:eastAsia="宋体"/>
                <w:sz w:val="18"/>
                <w:szCs w:val="15"/>
                <w:lang w:eastAsia="zh-CN"/>
              </w:rPr>
              <w:t>P</w:t>
            </w:r>
            <w:r>
              <w:rPr>
                <w:rFonts w:eastAsia="宋体"/>
                <w:sz w:val="18"/>
                <w:szCs w:val="15"/>
                <w:lang w:eastAsia="zh-CN"/>
              </w:rPr>
              <w:t>hase 1</w:t>
            </w:r>
          </w:p>
        </w:tc>
      </w:tr>
    </w:tbl>
    <w:p>
      <w:pPr>
        <w:pStyle w:val="46"/>
        <w:jc w:val="both"/>
        <w:rPr>
          <w:lang w:val="zh-CN"/>
        </w:rPr>
      </w:pPr>
      <w:r>
        <w:rPr>
          <w:rFonts w:hint="eastAsia"/>
          <w:lang w:val="zh-CN"/>
        </w:rPr>
        <w:t xml:space="preserve"> </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The</w:t>
      </w:r>
      <w:r>
        <w:rPr>
          <w:rFonts w:hint="eastAsia" w:cs="Times New Roman"/>
          <w:kern w:val="2"/>
          <w:sz w:val="21"/>
          <w:szCs w:val="21"/>
          <w:highlight w:val="none"/>
          <w:lang w:val="en-US" w:eastAsia="zh-CN" w:bidi="ar-SA"/>
        </w:rPr>
        <w:t xml:space="preserve"> proposed frequency and bandwidth for co-existence study are listed in</w:t>
      </w:r>
      <w:r>
        <w:rPr>
          <w:rFonts w:hint="eastAsia" w:ascii="Times New Roman" w:hAnsi="Times New Roman" w:cs="Times New Roman"/>
          <w:kern w:val="2"/>
          <w:sz w:val="21"/>
          <w:szCs w:val="21"/>
          <w:highlight w:val="none"/>
          <w:lang w:val="en-US" w:eastAsia="zh-CN" w:bidi="ar-SA"/>
        </w:rPr>
        <w:t xml:space="preserve"> following table.</w:t>
      </w:r>
    </w:p>
    <w:p>
      <w:pPr>
        <w:pStyle w:val="46"/>
        <w:rPr>
          <w:rFonts w:hint="default" w:eastAsiaTheme="minorEastAsia"/>
          <w:lang w:val="en-US" w:eastAsia="zh-CN"/>
        </w:rPr>
      </w:pPr>
      <w:r>
        <w:t>T</w:t>
      </w:r>
      <w:r>
        <w:rPr>
          <w:rFonts w:hint="eastAsia"/>
        </w:rPr>
        <w:t>able 6.1-</w:t>
      </w:r>
      <w:r>
        <w:rPr>
          <w:rFonts w:hint="eastAsia"/>
          <w:lang w:val="en-US" w:eastAsia="zh-CN"/>
        </w:rPr>
        <w:t>4</w:t>
      </w:r>
      <w:r>
        <w:t>:</w:t>
      </w:r>
      <w:r>
        <w:rPr>
          <w:rFonts w:hint="eastAsia"/>
        </w:rPr>
        <w:t xml:space="preserve"> </w:t>
      </w:r>
      <w:r>
        <w:t>Proposed</w:t>
      </w:r>
      <w:r>
        <w:rPr>
          <w:rFonts w:hint="eastAsia"/>
        </w:rPr>
        <w:t xml:space="preserve"> frequency and bandwidth for co-existence study</w:t>
      </w:r>
      <w:r>
        <w:rPr>
          <w:rFonts w:hint="eastAsia"/>
          <w:lang w:val="en-US" w:eastAsia="zh-CN"/>
        </w:rPr>
        <w:t xml:space="preserve"> for standalone NB-IoT over NTN</w:t>
      </w:r>
    </w:p>
    <w:tbl>
      <w:tblPr>
        <w:tblStyle w:val="95"/>
        <w:tblW w:w="47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317"/>
        <w:gridCol w:w="2345"/>
        <w:gridCol w:w="1609"/>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3"/>
              <w:overflowPunct w:val="0"/>
              <w:autoSpaceDE w:val="0"/>
              <w:autoSpaceDN w:val="0"/>
              <w:adjustRightInd w:val="0"/>
              <w:spacing w:after="180"/>
              <w:textAlignment w:val="baseline"/>
              <w:rPr>
                <w:rFonts w:eastAsia="Yu Mincho"/>
              </w:rPr>
            </w:pPr>
          </w:p>
        </w:tc>
        <w:tc>
          <w:tcPr>
            <w:tcW w:w="702" w:type="pct"/>
          </w:tcPr>
          <w:p>
            <w:pPr>
              <w:pStyle w:val="33"/>
              <w:overflowPunct w:val="0"/>
              <w:autoSpaceDE w:val="0"/>
              <w:autoSpaceDN w:val="0"/>
              <w:adjustRightInd w:val="0"/>
              <w:spacing w:after="180"/>
              <w:textAlignment w:val="baseline"/>
              <w:rPr>
                <w:rFonts w:eastAsia="Yu Mincho"/>
              </w:rPr>
            </w:pPr>
            <w:r>
              <w:rPr>
                <w:rFonts w:hint="eastAsia" w:eastAsia="Yu Mincho"/>
                <w:bCs/>
              </w:rPr>
              <w:t>Frequency</w:t>
            </w:r>
          </w:p>
        </w:tc>
        <w:tc>
          <w:tcPr>
            <w:tcW w:w="1250" w:type="pct"/>
          </w:tcPr>
          <w:p>
            <w:pPr>
              <w:pStyle w:val="33"/>
              <w:overflowPunct w:val="0"/>
              <w:autoSpaceDE w:val="0"/>
              <w:autoSpaceDN w:val="0"/>
              <w:adjustRightInd w:val="0"/>
              <w:spacing w:after="180"/>
              <w:textAlignment w:val="baseline"/>
              <w:rPr>
                <w:rFonts w:eastAsia="Yu Mincho"/>
              </w:rPr>
            </w:pPr>
            <w:r>
              <w:rPr>
                <w:rFonts w:hint="eastAsia" w:eastAsia="Yu Mincho"/>
                <w:bCs/>
              </w:rPr>
              <w:t>Bandwidth</w:t>
            </w:r>
          </w:p>
        </w:tc>
        <w:tc>
          <w:tcPr>
            <w:tcW w:w="858" w:type="pct"/>
          </w:tcPr>
          <w:p>
            <w:pPr>
              <w:pStyle w:val="33"/>
              <w:overflowPunct w:val="0"/>
              <w:autoSpaceDE w:val="0"/>
              <w:autoSpaceDN w:val="0"/>
              <w:adjustRightInd w:val="0"/>
              <w:spacing w:after="180"/>
              <w:textAlignment w:val="baseline"/>
              <w:rPr>
                <w:rFonts w:eastAsia="Yu Mincho"/>
                <w:bCs/>
              </w:rPr>
            </w:pPr>
            <w:r>
              <w:rPr>
                <w:rFonts w:eastAsia="Yu Mincho"/>
                <w:bCs/>
              </w:rPr>
              <w:t>D</w:t>
            </w:r>
            <w:r>
              <w:rPr>
                <w:rFonts w:hint="eastAsia" w:eastAsia="Yu Mincho"/>
                <w:bCs/>
              </w:rPr>
              <w:t>uplex mode</w:t>
            </w:r>
          </w:p>
        </w:tc>
        <w:tc>
          <w:tcPr>
            <w:tcW w:w="1251" w:type="pct"/>
          </w:tcPr>
          <w:p>
            <w:pPr>
              <w:pStyle w:val="33"/>
              <w:overflowPunct w:val="0"/>
              <w:autoSpaceDE w:val="0"/>
              <w:autoSpaceDN w:val="0"/>
              <w:adjustRightInd w:val="0"/>
              <w:spacing w:after="180"/>
              <w:textAlignment w:val="baseline"/>
              <w:rPr>
                <w:rFonts w:eastAsia="Yu Mincho"/>
                <w:bCs/>
              </w:rPr>
            </w:pPr>
            <w:r>
              <w:rPr>
                <w:rFonts w:hint="eastAsia" w:eastAsia="Yu Mincho"/>
                <w:bCs/>
              </w:rPr>
              <w:t>Frequency reuse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TN Rural</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eastAsia="Yu Mincho"/>
              </w:rPr>
              <w:t>20MHz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 TDD</w:t>
            </w:r>
          </w:p>
        </w:tc>
        <w:tc>
          <w:tcPr>
            <w:tcW w:w="1251" w:type="pct"/>
          </w:tcPr>
          <w:p>
            <w:pPr>
              <w:pStyle w:val="34"/>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 xml:space="preserve">TN </w:t>
            </w:r>
            <w:r>
              <w:rPr>
                <w:rFonts w:hint="eastAsia" w:eastAsia="Yu Mincho"/>
              </w:rPr>
              <w:t>Urban macro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eastAsia="Yu Mincho"/>
              </w:rPr>
              <w:t>20MHz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 TDD</w:t>
            </w:r>
          </w:p>
        </w:tc>
        <w:tc>
          <w:tcPr>
            <w:tcW w:w="1251" w:type="pct"/>
          </w:tcPr>
          <w:p>
            <w:pPr>
              <w:pStyle w:val="34"/>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GEO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200kHz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w:t>
            </w:r>
          </w:p>
        </w:tc>
        <w:tc>
          <w:tcPr>
            <w:tcW w:w="1251" w:type="pct"/>
          </w:tcPr>
          <w:p>
            <w:pPr>
              <w:pStyle w:val="34"/>
              <w:overflowPunct w:val="0"/>
              <w:autoSpaceDE w:val="0"/>
              <w:autoSpaceDN w:val="0"/>
              <w:adjustRightInd w:val="0"/>
              <w:spacing w:after="180"/>
              <w:textAlignment w:val="baseline"/>
              <w:rPr>
                <w:rFonts w:eastAsia="Yu Mincho"/>
              </w:rPr>
            </w:pPr>
            <w:r>
              <w:rPr>
                <w:rFonts w:eastAsia="Yu Mincho"/>
              </w:rPr>
              <w:t>1, 3</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hint="eastAsia" w:eastAsia="Yu Mincho"/>
              </w:rPr>
              <w:t>LEO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200kHz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w:t>
            </w:r>
          </w:p>
        </w:tc>
        <w:tc>
          <w:tcPr>
            <w:tcW w:w="1251" w:type="pct"/>
          </w:tcPr>
          <w:p>
            <w:pPr>
              <w:pStyle w:val="34"/>
              <w:overflowPunct w:val="0"/>
              <w:autoSpaceDE w:val="0"/>
              <w:autoSpaceDN w:val="0"/>
              <w:adjustRightInd w:val="0"/>
              <w:spacing w:after="180"/>
              <w:textAlignment w:val="baseline"/>
              <w:rPr>
                <w:rFonts w:eastAsia="Yu Mincho"/>
              </w:rPr>
            </w:pPr>
            <w:r>
              <w:rPr>
                <w:rFonts w:eastAsia="Yu Mincho"/>
              </w:rPr>
              <w:t>1, 3</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Pr>
          <w:p>
            <w:pPr>
              <w:pStyle w:val="47"/>
              <w:overflowPunct w:val="0"/>
              <w:autoSpaceDE w:val="0"/>
              <w:autoSpaceDN w:val="0"/>
              <w:adjustRightInd w:val="0"/>
              <w:spacing w:after="180"/>
              <w:textAlignment w:val="baseline"/>
              <w:rPr>
                <w:rFonts w:eastAsia="Yu Mincho"/>
              </w:rPr>
            </w:pPr>
            <w:r>
              <w:rPr>
                <w:rFonts w:hint="eastAsia" w:eastAsia="Yu Mincho"/>
              </w:rPr>
              <w:t>N</w:t>
            </w:r>
            <w:r>
              <w:rPr>
                <w:rFonts w:eastAsia="Yu Mincho"/>
              </w:rPr>
              <w:t>OTE</w:t>
            </w:r>
            <w:r>
              <w:rPr>
                <w:rFonts w:hint="eastAsia" w:eastAsia="Yu Mincho"/>
              </w:rPr>
              <w:t>:</w:t>
            </w:r>
            <w:r>
              <w:rPr>
                <w:rFonts w:eastAsia="Yu Mincho"/>
              </w:rPr>
              <w:tab/>
            </w:r>
            <w:r>
              <w:rPr>
                <w:rFonts w:eastAsia="Yu Mincho"/>
              </w:rPr>
              <w:t>Only FRF=1 has been used in co-existence studies for simplification.</w:t>
            </w:r>
          </w:p>
        </w:tc>
      </w:tr>
    </w:tbl>
    <w:p>
      <w:pPr>
        <w:numPr>
          <w:ilvl w:val="0"/>
          <w:numId w:val="0"/>
        </w:numPr>
        <w:rPr>
          <w:rFonts w:hint="eastAsia"/>
          <w:kern w:val="2"/>
          <w:sz w:val="21"/>
          <w:szCs w:val="24"/>
          <w:highlight w:val="none"/>
          <w:lang w:val="en-US" w:eastAsia="zh-CN" w:bidi="ar-SA"/>
        </w:rPr>
      </w:pPr>
    </w:p>
    <w:p>
      <w:pPr>
        <w:pStyle w:val="3"/>
        <w:ind w:left="432" w:hanging="432"/>
        <w:rPr>
          <w:lang w:eastAsia="zh-CN"/>
        </w:rPr>
      </w:pPr>
      <w:r>
        <w:t>6.2</w:t>
      </w:r>
      <w:r>
        <w:tab/>
      </w:r>
      <w:r>
        <w:t xml:space="preserve">Co-existence simulation </w:t>
      </w:r>
      <w:bookmarkStart w:id="7" w:name="_Toc79091614"/>
      <w:r>
        <w:rPr>
          <w:rFonts w:hint="eastAsia"/>
          <w:lang w:eastAsia="zh-CN"/>
        </w:rPr>
        <w:t>assumption</w:t>
      </w:r>
      <w:bookmarkEnd w:id="7"/>
    </w:p>
    <w:p>
      <w:pPr>
        <w:pStyle w:val="4"/>
        <w:ind w:left="0" w:firstLine="0"/>
        <w:rPr>
          <w:lang w:eastAsia="zh-CN"/>
        </w:rPr>
      </w:pPr>
      <w:bookmarkStart w:id="8" w:name="_Toc87889240"/>
      <w:bookmarkStart w:id="9" w:name="_Toc106127621"/>
      <w:bookmarkStart w:id="10" w:name="_Toc104122343"/>
      <w:bookmarkStart w:id="11" w:name="_Toc104210149"/>
      <w:bookmarkStart w:id="12" w:name="_Toc104502861"/>
      <w:bookmarkStart w:id="13" w:name="_Toc94170341"/>
      <w:r>
        <w:rPr>
          <w:lang w:eastAsia="zh-CN"/>
        </w:rPr>
        <w:t>6.2.1</w:t>
      </w:r>
      <w:r>
        <w:rPr>
          <w:rFonts w:cs="Arial"/>
          <w:lang w:eastAsia="zh-CN"/>
        </w:rPr>
        <w:tab/>
      </w:r>
      <w:r>
        <w:rPr>
          <w:rFonts w:cs="Arial"/>
          <w:lang w:eastAsia="zh-CN"/>
        </w:rPr>
        <w:t>Network layout model</w:t>
      </w:r>
      <w:bookmarkEnd w:id="8"/>
      <w:bookmarkEnd w:id="9"/>
      <w:bookmarkEnd w:id="10"/>
      <w:bookmarkEnd w:id="11"/>
      <w:bookmarkEnd w:id="12"/>
      <w:bookmarkEnd w:id="13"/>
    </w:p>
    <w:p>
      <w:pPr>
        <w:pStyle w:val="5"/>
        <w:rPr>
          <w:rFonts w:cs="Arial"/>
          <w:b/>
        </w:rPr>
      </w:pPr>
      <w:bookmarkStart w:id="14" w:name="_Toc104122344"/>
      <w:bookmarkStart w:id="15" w:name="_Toc94170342"/>
      <w:bookmarkStart w:id="16" w:name="_Toc106127622"/>
      <w:bookmarkStart w:id="17" w:name="_Toc87889241"/>
      <w:bookmarkStart w:id="18" w:name="_Toc104210150"/>
      <w:bookmarkStart w:id="19" w:name="_Toc104502862"/>
      <w:r>
        <w:rPr>
          <w:rFonts w:cs="Arial"/>
        </w:rPr>
        <w:t>6.2.1.1</w:t>
      </w:r>
      <w:r>
        <w:rPr>
          <w:rFonts w:cs="Arial"/>
        </w:rPr>
        <w:tab/>
      </w:r>
      <w:r>
        <w:rPr>
          <w:rFonts w:cs="Arial"/>
        </w:rPr>
        <w:t>Co-existence between NTN satellite and TN</w:t>
      </w:r>
      <w:bookmarkEnd w:id="14"/>
      <w:bookmarkEnd w:id="15"/>
      <w:bookmarkEnd w:id="16"/>
      <w:bookmarkEnd w:id="17"/>
      <w:bookmarkEnd w:id="18"/>
      <w:bookmarkEnd w:id="19"/>
    </w:p>
    <w:p>
      <w:pPr>
        <w:rPr>
          <w:b/>
          <w:u w:val="single"/>
        </w:rPr>
      </w:pPr>
      <w:r>
        <w:t>C</w:t>
      </w:r>
      <w:r>
        <w:rPr>
          <w:rFonts w:hint="eastAsia"/>
        </w:rPr>
        <w:t>ellular cell structure is considered for both NTN</w:t>
      </w:r>
      <w:r>
        <w:t xml:space="preserve"> satellite</w:t>
      </w:r>
      <w:r>
        <w:rPr>
          <w:rFonts w:hint="eastAsia"/>
        </w:rPr>
        <w:t xml:space="preserve"> and TN network layout.</w:t>
      </w:r>
    </w:p>
    <w:p>
      <w:pPr>
        <w:rPr>
          <w:rFonts w:eastAsia="等线"/>
          <w:highlight w:val="yellow"/>
        </w:rPr>
      </w:pPr>
      <w:r>
        <w:rPr>
          <w:rFonts w:eastAsia="等线"/>
        </w:rPr>
        <w:t>Referring to TR 38.811[5] Section 6.3 and Annex A, a 3D global coordinate system is considered (Earth-Centred Earth Fixed) for simulating NTN satellite beams direction and location on the earth surface. It means the NTN satellite beam location, TN randomly dropping location are generated with a set of three parameters (x,y,z).</w:t>
      </w:r>
    </w:p>
    <w:p>
      <w:pPr>
        <w:rPr>
          <w:rFonts w:eastAsia="等线"/>
        </w:rPr>
      </w:pPr>
      <w:r>
        <w:rPr>
          <w:rFonts w:eastAsia="等线"/>
        </w:rPr>
        <w:t xml:space="preserve">Deployment of NTN satellite and TN cells and UEs for co-existence study is listed in Table 6.2.1.1-1. </w:t>
      </w:r>
    </w:p>
    <w:p>
      <w:pPr>
        <w:pStyle w:val="50"/>
      </w:pPr>
      <w:r>
        <w:t>NOTE:</w:t>
      </w:r>
      <w:r>
        <w:tab/>
      </w:r>
      <w:r>
        <w:t xml:space="preserve">The NTN UE(s) shall be dropped at the edge of the “central 19 TN cells (cluster)”. For Case 1, an Isolation distance of 1500m as 2*ISD is considered to reflect the NTN-TN selection algorithm at the border, assuming TN connection will always be prioritized over NTN. </w:t>
      </w:r>
    </w:p>
    <w:p>
      <w:pPr>
        <w:rPr>
          <w:rFonts w:eastAsia="宋体"/>
          <w:color w:val="000000"/>
        </w:rPr>
      </w:pPr>
      <w:r>
        <w:rPr>
          <w:rFonts w:eastAsia="宋体"/>
          <w:color w:val="000000"/>
        </w:rPr>
        <w:t>As defined in Figure 6.2.1.1-1, isolation distance is the distance between the blue-dotted line which represents TN cell boarder and the red line. No UEs deployed in the isolation region is assumed to reduce the calculation complexity.</w:t>
      </w:r>
    </w:p>
    <w:p>
      <w:pPr>
        <w:pStyle w:val="46"/>
        <w:rPr>
          <w:rFonts w:eastAsia="宋体"/>
          <w:color w:val="000000"/>
        </w:rPr>
      </w:pPr>
      <w:r>
        <w:drawing>
          <wp:inline distT="0" distB="0" distL="0" distR="0">
            <wp:extent cx="4325620" cy="3569970"/>
            <wp:effectExtent l="0" t="0" r="0" b="1143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 name="图片 919"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25620" cy="3569970"/>
                    </a:xfrm>
                    <a:prstGeom prst="rect">
                      <a:avLst/>
                    </a:prstGeom>
                    <a:noFill/>
                    <a:ln>
                      <a:noFill/>
                    </a:ln>
                  </pic:spPr>
                </pic:pic>
              </a:graphicData>
            </a:graphic>
          </wp:inline>
        </w:drawing>
      </w:r>
    </w:p>
    <w:p>
      <w:pPr>
        <w:pStyle w:val="45"/>
        <w:rPr>
          <w:rFonts w:eastAsia="等线"/>
        </w:rPr>
      </w:pPr>
      <w:r>
        <w:rPr>
          <w:rFonts w:hint="eastAsia"/>
        </w:rPr>
        <w:t>Figure</w:t>
      </w:r>
      <w:r>
        <w:t xml:space="preserve"> 6.2.1.1-1: Isolation distance for Case 1</w:t>
      </w:r>
    </w:p>
    <w:p>
      <w:pPr>
        <w:pStyle w:val="46"/>
      </w:pPr>
      <w:r>
        <w:t>Table 6.2.1.1-1</w:t>
      </w:r>
      <w:r>
        <w:rPr>
          <w:rFonts w:hint="eastAsia"/>
          <w:lang w:eastAsia="zh-CN"/>
        </w:rPr>
        <w:t>:</w:t>
      </w:r>
      <w:r>
        <w:tab/>
      </w:r>
      <w:r>
        <w:t>Network and UE deployment</w:t>
      </w:r>
    </w:p>
    <w:tbl>
      <w:tblPr>
        <w:tblStyle w:val="9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367"/>
        <w:gridCol w:w="1117"/>
        <w:gridCol w:w="767"/>
        <w:gridCol w:w="2073"/>
        <w:gridCol w:w="2466"/>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0" w:type="auto"/>
          </w:tcPr>
          <w:p>
            <w:pPr>
              <w:pStyle w:val="33"/>
              <w:overflowPunct w:val="0"/>
              <w:autoSpaceDE w:val="0"/>
              <w:autoSpaceDN w:val="0"/>
              <w:adjustRightInd w:val="0"/>
              <w:spacing w:after="180"/>
              <w:textAlignment w:val="baseline"/>
              <w:rPr>
                <w:rFonts w:eastAsia="Yu Mincho"/>
              </w:rPr>
            </w:pPr>
            <w:r>
              <w:rPr>
                <w:rFonts w:eastAsia="Yu Mincho"/>
              </w:rPr>
              <w:t>No.</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Combination</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Aggressor</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Victim</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 xml:space="preserve">Which NTN cell/UE to observe? </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Which TN/UE to observe?</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Which TN cells in a TN to observe?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1</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DL</w:t>
            </w:r>
          </w:p>
        </w:tc>
        <w:tc>
          <w:tcPr>
            <w:tcW w:w="0" w:type="auto"/>
          </w:tcPr>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One cluster with 19 TN cells (57 sectors) randomly placed in the central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2</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UL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Consider an active rate of 20% for Rural and Urban of TN.</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cells in central NTN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3</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NTN DL</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UE:</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vMerge w:val="restart"/>
          </w:tcPr>
          <w:p>
            <w:pPr>
              <w:pStyle w:val="35"/>
              <w:overflowPunct w:val="0"/>
              <w:autoSpaceDE w:val="0"/>
              <w:autoSpaceDN w:val="0"/>
              <w:adjustRightInd w:val="0"/>
              <w:spacing w:after="180"/>
              <w:textAlignment w:val="baseline"/>
              <w:rPr>
                <w:rFonts w:eastAsia="Yu Mincho"/>
              </w:rPr>
            </w:pPr>
            <w:r>
              <w:rPr>
                <w:rFonts w:eastAsia="Yu Mincho"/>
              </w:rPr>
              <w:t>All in central NTN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NTN cell with satellite at low elevation (45° for GEO and LEO</w:t>
            </w:r>
            <w:r>
              <w:rPr>
                <w:rFonts w:hint="eastAsia" w:eastAsia="Yu Mincho"/>
              </w:rPr>
              <w:t>，</w:t>
            </w:r>
            <w:r>
              <w:rPr>
                <w:rFonts w:eastAsia="Yu Mincho"/>
              </w:rPr>
              <w:t>Interested companies can bring analysis and results for other values)</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r>
              <w:rPr>
                <w:rFonts w:hint="eastAsia" w:eastAsia="Yu Mincho"/>
              </w:rPr>
              <w:t>:</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vMerge w:val="continue"/>
          </w:tcPr>
          <w:p>
            <w:pPr>
              <w:pStyle w:val="35"/>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4</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UL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Option 1: All active TN clusters which has the NTN UE(s) at its edge.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lang w:eastAsia="fr-FR"/>
              </w:rPr>
            </w:pPr>
            <w:r>
              <w:rPr>
                <w:rFonts w:eastAsia="Yu Mincho"/>
                <w:lang w:eastAsia="fr-FR"/>
              </w:rPr>
              <w:t xml:space="preserve">Option 2: Only the TN sectors which have NTN UE(s) at their edges. </w:t>
            </w:r>
          </w:p>
          <w:p>
            <w:pPr>
              <w:pStyle w:val="35"/>
              <w:overflowPunct w:val="0"/>
              <w:autoSpaceDE w:val="0"/>
              <w:autoSpaceDN w:val="0"/>
              <w:adjustRightInd w:val="0"/>
              <w:spacing w:after="180"/>
              <w:textAlignment w:val="baseline"/>
              <w:rPr>
                <w:rFonts w:eastAsia="Yu Mincho"/>
                <w:lang w:eastAsia="fr-FR"/>
              </w:rPr>
            </w:pPr>
          </w:p>
          <w:p>
            <w:pPr>
              <w:pStyle w:val="35"/>
              <w:overflowPunct w:val="0"/>
              <w:autoSpaceDE w:val="0"/>
              <w:autoSpaceDN w:val="0"/>
              <w:adjustRightInd w:val="0"/>
              <w:spacing w:after="180"/>
              <w:textAlignment w:val="baseline"/>
              <w:rPr>
                <w:rFonts w:eastAsia="Yu Mincho"/>
                <w:strike/>
              </w:rPr>
            </w:pPr>
            <w:r>
              <w:rPr>
                <w:rFonts w:eastAsia="Yu Mincho"/>
                <w:lang w:eastAsia="fr-FR"/>
              </w:rPr>
              <w:t>Option 1 is the baseline and it is not precluded companies can follow Option 2 to bring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5</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 xml:space="preserve">NTN cell: </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i/>
              </w:rPr>
            </w:pPr>
            <w:r>
              <w:rPr>
                <w:rFonts w:eastAsia="Yu Mincho"/>
              </w:rPr>
              <w:t>NTN cell with satellite at low elevation (45° for GEO and LEO</w:t>
            </w:r>
            <w:r>
              <w:rPr>
                <w:rFonts w:hint="eastAsia" w:eastAsia="Yu Mincho"/>
              </w:rPr>
              <w:t>，</w:t>
            </w:r>
            <w:r>
              <w:rPr>
                <w:rFonts w:eastAsia="Yu Mincho"/>
              </w:rPr>
              <w:t>Interested companies can bring analysis and results for other values).</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6</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NTN cell with satellite at low elevation to be further investigated.</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r>
              <w:rPr>
                <w:rFonts w:hint="eastAsia" w:eastAsia="Yu Mincho"/>
              </w:rPr>
              <w:t>:</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Consider the active rate of 20% for Rural and Urban of TN.</w:t>
            </w:r>
          </w:p>
          <w:p>
            <w:pPr>
              <w:keepNext/>
              <w:keepLines/>
              <w:overflowPunct w:val="0"/>
              <w:autoSpaceDE w:val="0"/>
              <w:autoSpaceDN w:val="0"/>
              <w:adjustRightInd w:val="0"/>
              <w:spacing w:after="180"/>
              <w:textAlignment w:val="baseline"/>
              <w:rPr>
                <w:rFonts w:eastAsiaTheme="minorEastAsia"/>
              </w:rPr>
            </w:pPr>
            <w:r>
              <w:rPr>
                <w:rFonts w:ascii="Arial" w:hAnsi="Arial" w:eastAsia="Yu Mincho"/>
                <w:sz w:val="18"/>
              </w:rPr>
              <w:t xml:space="preserve">The Urban TN deployment for GEO in Case 6 is a mixture of urban and rural TN deployment. </w:t>
            </w:r>
            <w:r>
              <w:rPr>
                <w:rFonts w:ascii="Arial" w:hAnsi="Arial" w:eastAsiaTheme="minorEastAsia"/>
                <w:sz w:val="18"/>
              </w:rPr>
              <w:t>A representative percentage of urban TN could be considered for further study.</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cells in central NTN beam</w:t>
            </w:r>
          </w:p>
        </w:tc>
      </w:tr>
    </w:tbl>
    <w:p/>
    <w:p>
      <w:pPr>
        <w:pStyle w:val="4"/>
        <w:ind w:left="0" w:firstLine="0"/>
        <w:rPr>
          <w:lang w:eastAsia="zh-CN"/>
        </w:rPr>
      </w:pPr>
      <w:r>
        <w:rPr>
          <w:rFonts w:hint="eastAsia" w:cs="Arial"/>
          <w:lang w:val="en-US" w:eastAsia="zh-CN"/>
        </w:rPr>
        <w:t xml:space="preserve">6.2.2 </w:t>
      </w:r>
      <w:r>
        <w:rPr>
          <w:rFonts w:hint="eastAsia" w:cs="Arial"/>
          <w:lang w:eastAsia="zh-CN"/>
        </w:rPr>
        <w:t>S</w:t>
      </w:r>
      <w:r>
        <w:rPr>
          <w:rFonts w:cs="Arial"/>
          <w:lang w:eastAsia="zh-CN"/>
        </w:rPr>
        <w:t>ystem parameters</w:t>
      </w:r>
    </w:p>
    <w:p>
      <w:pPr>
        <w:pStyle w:val="5"/>
        <w:rPr>
          <w:rFonts w:hint="default" w:cs="Arial" w:eastAsiaTheme="minorEastAsia"/>
          <w:b/>
          <w:lang w:val="en-US" w:eastAsia="zh-CN"/>
        </w:rPr>
      </w:pPr>
      <w:bookmarkStart w:id="20" w:name="_Toc104210154"/>
      <w:bookmarkStart w:id="21" w:name="_Toc106127626"/>
      <w:bookmarkStart w:id="22" w:name="_Toc104502866"/>
      <w:bookmarkStart w:id="23" w:name="_Toc104122348"/>
      <w:bookmarkStart w:id="24" w:name="_Toc94170344"/>
      <w:bookmarkStart w:id="25" w:name="_Toc87889243"/>
      <w:r>
        <w:rPr>
          <w:rFonts w:cs="Arial"/>
        </w:rPr>
        <w:t>6.2.2.1</w:t>
      </w:r>
      <w:r>
        <w:rPr>
          <w:rFonts w:cs="Arial"/>
        </w:rPr>
        <w:tab/>
      </w:r>
      <w:r>
        <w:rPr>
          <w:rFonts w:hint="eastAsia" w:cs="Arial"/>
        </w:rPr>
        <w:t>Satellite</w:t>
      </w:r>
      <w:r>
        <w:rPr>
          <w:rFonts w:cs="Arial"/>
        </w:rPr>
        <w:t xml:space="preserve"> parameters</w:t>
      </w:r>
      <w:bookmarkEnd w:id="20"/>
      <w:bookmarkEnd w:id="21"/>
      <w:bookmarkEnd w:id="22"/>
      <w:bookmarkEnd w:id="23"/>
      <w:bookmarkEnd w:id="24"/>
      <w:bookmarkEnd w:id="25"/>
    </w:p>
    <w:p>
      <w:pPr>
        <w:spacing w:after="120"/>
        <w:rPr>
          <w:rFonts w:eastAsia="宋体"/>
        </w:rPr>
      </w:pPr>
      <w:r>
        <w:rPr>
          <w:rFonts w:hint="eastAsia"/>
          <w:lang w:val="en-US" w:eastAsia="zh-CN"/>
        </w:rPr>
        <w:t>Set1</w:t>
      </w:r>
      <w:r>
        <w:rPr>
          <w:rFonts w:eastAsia="宋体"/>
        </w:rPr>
        <w:t xml:space="preserve"> of satellite parameters are listed </w:t>
      </w:r>
      <w:r>
        <w:rPr>
          <w:rFonts w:hint="eastAsia" w:eastAsia="宋体"/>
        </w:rPr>
        <w:t xml:space="preserve">in Table </w:t>
      </w:r>
      <w:r>
        <w:rPr>
          <w:rFonts w:eastAsia="宋体"/>
        </w:rPr>
        <w:t>6.2.2.1</w:t>
      </w:r>
      <w:r>
        <w:rPr>
          <w:rFonts w:hint="eastAsia" w:eastAsia="宋体"/>
        </w:rPr>
        <w:t>-</w:t>
      </w:r>
      <w:r>
        <w:rPr>
          <w:rFonts w:eastAsia="宋体"/>
        </w:rPr>
        <w:t>2</w:t>
      </w:r>
      <w:r>
        <w:rPr>
          <w:rFonts w:hint="eastAsia"/>
          <w:lang w:val="en-US" w:eastAsia="zh-CN"/>
        </w:rPr>
        <w:t xml:space="preserve"> </w:t>
      </w:r>
      <w:r>
        <w:rPr>
          <w:rFonts w:hint="eastAsia" w:eastAsia="宋体"/>
        </w:rPr>
        <w:t>according to TR 38.821</w:t>
      </w:r>
      <w:r>
        <w:rPr>
          <w:rFonts w:hint="eastAsia" w:eastAsia="宋体"/>
          <w:lang w:val="en-US" w:eastAsia="zh-CN"/>
        </w:rPr>
        <w:t>/ 36.763</w:t>
      </w:r>
      <w:r>
        <w:rPr>
          <w:rFonts w:eastAsia="宋体"/>
        </w:rPr>
        <w:t>[6]</w:t>
      </w:r>
      <w:r>
        <w:rPr>
          <w:rFonts w:hint="eastAsia" w:eastAsia="宋体"/>
        </w:rPr>
        <w:t>.</w:t>
      </w:r>
    </w:p>
    <w:p>
      <w:pPr>
        <w:spacing w:after="120"/>
        <w:rPr>
          <w:rFonts w:eastAsia="宋体"/>
          <w:szCs w:val="24"/>
        </w:rPr>
      </w:pPr>
      <w:r>
        <w:rPr>
          <w:rFonts w:eastAsia="宋体"/>
          <w:szCs w:val="24"/>
        </w:rPr>
        <w:t>The satellite max Tx power can be calculated by the equation as below:</w:t>
      </w:r>
    </w:p>
    <w:p>
      <w:pPr>
        <w:pStyle w:val="39"/>
        <w:jc w:val="center"/>
      </w:pPr>
      <m:oMathPara>
        <m:oMathParaPr>
          <m:jc m:val="center"/>
        </m:oMathParaPr>
        <m:oMath>
          <m:func>
            <m:funcPr>
              <m:ctrlPr>
                <w:rPr>
                  <w:rFonts w:ascii="Cambria Math" w:hAnsi="Cambria Math"/>
                </w:rPr>
              </m:ctrlPr>
            </m:funcPr>
            <m:fName>
              <m:r>
                <w:rPr>
                  <w:rFonts w:hint="eastAsia" w:ascii="Cambria Math" w:hAnsi="Cambria Math"/>
                </w:rPr>
                <m:t>max</m:t>
              </m:r>
              <m:ctrlPr>
                <w:rPr>
                  <w:rFonts w:ascii="Cambria Math" w:hAnsi="Cambria Math"/>
                </w:rPr>
              </m:ctrlPr>
            </m:fName>
            <m:e>
              <m:r>
                <w:rPr>
                  <w:rFonts w:hint="eastAsia" w:ascii="Cambria Math" w:hAnsi="Cambria Math"/>
                </w:rPr>
                <m:t>Tx</m:t>
              </m:r>
              <m:r>
                <m:rPr>
                  <m:sty m:val="p"/>
                </m:rPr>
                <w:rPr>
                  <w:rFonts w:ascii="Cambria Math" w:hAnsi="Cambria Math"/>
                </w:rPr>
                <m:t> </m:t>
              </m:r>
              <m:r>
                <w:rPr>
                  <w:rFonts w:hint="eastAsia" w:ascii="Cambria Math" w:hAnsi="Cambria Math"/>
                </w:rPr>
                <m:t>power</m:t>
              </m:r>
              <m:d>
                <m:dPr>
                  <m:begChr m:val="["/>
                  <m:endChr m:val="]"/>
                  <m:ctrlPr>
                    <w:rPr>
                      <w:rFonts w:ascii="Cambria Math" w:hAnsi="Cambria Math"/>
                    </w:rPr>
                  </m:ctrlPr>
                </m:dPr>
                <m:e>
                  <m:r>
                    <w:rPr>
                      <w:rFonts w:hint="eastAsia" w:ascii="Cambria Math" w:hAnsi="Cambria Math"/>
                    </w:rPr>
                    <m:t>dBm</m:t>
                  </m:r>
                  <m:ctrlPr>
                    <w:rPr>
                      <w:rFonts w:ascii="Cambria Math" w:hAnsi="Cambria Math"/>
                    </w:rPr>
                  </m:ctrlPr>
                </m:e>
              </m:d>
              <m:r>
                <m:rPr>
                  <m:sty m:val="p"/>
                </m:rPr>
                <w:rPr>
                  <w:rFonts w:ascii="Cambria Math" w:hAnsi="Cambria Math"/>
                </w:rPr>
                <m:t>=</m:t>
              </m:r>
              <m:ctrlPr>
                <w:rPr>
                  <w:rFonts w:ascii="Cambria Math" w:hAnsi="Cambria Math"/>
                </w:rPr>
              </m:ctrlPr>
            </m:e>
          </m:func>
          <m:r>
            <w:rPr>
              <w:rFonts w:hint="eastAsia" w:ascii="Cambria Math" w:hAnsi="Cambria Math"/>
            </w:rPr>
            <m:t>EIRP</m:t>
          </m:r>
          <m:r>
            <m:rPr>
              <m:sty m:val="p"/>
            </m:rPr>
            <w:rPr>
              <w:rFonts w:ascii="Cambria Math" w:hAnsi="Cambria Math"/>
            </w:rPr>
            <m:t> </m:t>
          </m:r>
          <m:r>
            <w:rPr>
              <w:rFonts w:hint="eastAsia" w:ascii="Cambria Math" w:hAnsi="Cambria Math"/>
            </w:rPr>
            <m:t>density</m:t>
          </m:r>
          <m:d>
            <m:dPr>
              <m:begChr m:val="["/>
              <m:endChr m:val="]"/>
              <m:ctrlPr>
                <w:rPr>
                  <w:rFonts w:ascii="Cambria Math" w:hAnsi="Cambria Math"/>
                </w:rPr>
              </m:ctrlPr>
            </m:dPr>
            <m:e>
              <m:f>
                <m:fPr>
                  <m:ctrlPr>
                    <w:rPr>
                      <w:rFonts w:ascii="Cambria Math" w:hAnsi="Cambria Math"/>
                    </w:rPr>
                  </m:ctrlPr>
                </m:fPr>
                <m:num>
                  <m:r>
                    <w:rPr>
                      <w:rFonts w:hint="eastAsia" w:ascii="Cambria Math" w:hAnsi="Cambria Math"/>
                    </w:rPr>
                    <m:t>dBW</m:t>
                  </m:r>
                  <m:ctrlPr>
                    <w:rPr>
                      <w:rFonts w:ascii="Cambria Math" w:hAnsi="Cambria Math"/>
                    </w:rPr>
                  </m:ctrlPr>
                </m:num>
                <m:den>
                  <m:r>
                    <w:rPr>
                      <w:rFonts w:hint="eastAsia" w:ascii="Cambria Math" w:hAnsi="Cambria Math"/>
                    </w:rPr>
                    <m:t>MHz</m:t>
                  </m:r>
                  <m:ctrlPr>
                    <w:rPr>
                      <w:rFonts w:ascii="Cambria Math" w:hAnsi="Cambria Math"/>
                    </w:rPr>
                  </m:ctrlPr>
                </m:den>
              </m:f>
              <m:ctrlPr>
                <w:rPr>
                  <w:rFonts w:ascii="Cambria Math" w:hAnsi="Cambria Math"/>
                </w:rPr>
              </m:ctrlPr>
            </m:e>
          </m:d>
          <m:r>
            <m:rPr>
              <m:sty m:val="p"/>
            </m:rPr>
            <w:rPr>
              <w:rFonts w:ascii="Cambria Math" w:hAnsi="Cambria Math"/>
            </w:rPr>
            <m:t>+30+10 </m:t>
          </m:r>
          <m:sSub>
            <m:sSubPr>
              <m:ctrlPr>
                <w:rPr>
                  <w:rFonts w:ascii="Cambria Math" w:hAnsi="Cambria Math"/>
                </w:rPr>
              </m:ctrlPr>
            </m:sSubPr>
            <m:e>
              <m:r>
                <w:rPr>
                  <w:rFonts w:hint="eastAsia"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d>
            <m:dPr>
              <m:ctrlPr>
                <w:rPr>
                  <w:rFonts w:ascii="Cambria Math" w:hAnsi="Cambria Math"/>
                </w:rPr>
              </m:ctrlPr>
            </m:dPr>
            <m:e>
              <m:sSub>
                <m:sSubPr>
                  <m:ctrlPr>
                    <w:rPr>
                      <w:rFonts w:ascii="Cambria Math" w:hAnsi="Cambria Math"/>
                    </w:rPr>
                  </m:ctrlPr>
                </m:sSubPr>
                <m:e>
                  <m:r>
                    <w:rPr>
                      <w:rFonts w:hint="eastAsia" w:ascii="Cambria Math" w:hAnsi="Cambria Math"/>
                    </w:rPr>
                    <m:t>N</m:t>
                  </m:r>
                  <m:ctrlPr>
                    <w:rPr>
                      <w:rFonts w:ascii="Cambria Math" w:hAnsi="Cambria Math"/>
                    </w:rPr>
                  </m:ctrlPr>
                </m:e>
                <m:sub>
                  <m:r>
                    <w:rPr>
                      <w:rFonts w:hint="eastAsia" w:ascii="Cambria Math" w:hAnsi="Cambria Math"/>
                    </w:rPr>
                    <m:t>RB</m:t>
                  </m:r>
                  <m:ctrlPr>
                    <w:rPr>
                      <w:rFonts w:ascii="Cambria Math" w:hAnsi="Cambria Math"/>
                    </w:rPr>
                  </m:ctrlPr>
                </m:sub>
              </m:sSub>
              <m:r>
                <m:rPr>
                  <m:sty m:val="p"/>
                </m:rPr>
                <w:rPr>
                  <w:rFonts w:ascii="Cambria Math" w:hAnsi="Cambria Math"/>
                </w:rPr>
                <m:t>*</m:t>
              </m:r>
              <m:r>
                <w:rPr>
                  <w:rFonts w:hint="eastAsia" w:ascii="Cambria Math" w:hAnsi="Cambria Math"/>
                </w:rPr>
                <m:t>SCS</m:t>
              </m:r>
              <m:d>
                <m:dPr>
                  <m:begChr m:val="["/>
                  <m:endChr m:val="]"/>
                  <m:ctrlPr>
                    <w:rPr>
                      <w:rFonts w:ascii="Cambria Math" w:hAnsi="Cambria Math"/>
                    </w:rPr>
                  </m:ctrlPr>
                </m:dPr>
                <m:e>
                  <m:r>
                    <w:rPr>
                      <w:rFonts w:hint="eastAsia" w:ascii="Cambria Math" w:hAnsi="Cambria Math"/>
                    </w:rPr>
                    <m:t>MHz</m:t>
                  </m:r>
                  <m:ctrlPr>
                    <w:rPr>
                      <w:rFonts w:ascii="Cambria Math" w:hAnsi="Cambria Math"/>
                    </w:rPr>
                  </m:ctrlPr>
                </m:e>
              </m:d>
              <m:r>
                <m:rPr>
                  <m:sty m:val="p"/>
                </m:rPr>
                <w:rPr>
                  <w:rFonts w:ascii="Cambria Math" w:hAnsi="Cambria Math"/>
                </w:rPr>
                <m:t>*12</m:t>
              </m:r>
              <m:ctrlPr>
                <w:rPr>
                  <w:rFonts w:ascii="Cambria Math" w:hAnsi="Cambria Math"/>
                </w:rPr>
              </m:ctrlPr>
            </m:e>
          </m:d>
          <m:r>
            <m:rPr>
              <m:sty m:val="p"/>
            </m:rPr>
            <w:rPr>
              <w:rFonts w:ascii="Cambria Math" w:hAnsi="Cambria Math"/>
            </w:rPr>
            <m:t>-</m:t>
          </m:r>
          <m:r>
            <w:rPr>
              <w:rFonts w:hint="eastAsia" w:ascii="Cambria Math" w:hAnsi="Cambria Math"/>
            </w:rPr>
            <m:t>Max</m:t>
          </m:r>
          <m:r>
            <m:rPr>
              <m:sty m:val="p"/>
            </m:rPr>
            <w:rPr>
              <w:rFonts w:ascii="Cambria Math" w:hAnsi="Cambria Math"/>
            </w:rPr>
            <m:t> </m:t>
          </m:r>
          <m:r>
            <w:rPr>
              <w:rFonts w:hint="eastAsia" w:ascii="Cambria Math" w:hAnsi="Cambria Math"/>
            </w:rPr>
            <m:t>Gain</m:t>
          </m:r>
          <m:d>
            <m:dPr>
              <m:begChr m:val="["/>
              <m:endChr m:val="]"/>
              <m:ctrlPr>
                <w:rPr>
                  <w:rFonts w:ascii="Cambria Math" w:hAnsi="Cambria Math"/>
                </w:rPr>
              </m:ctrlPr>
            </m:dPr>
            <m:e>
              <m:r>
                <w:rPr>
                  <w:rFonts w:hint="eastAsia" w:ascii="Cambria Math" w:hAnsi="Cambria Math"/>
                </w:rPr>
                <m:t>dBi</m:t>
              </m:r>
              <m:ctrlPr>
                <w:rPr>
                  <w:rFonts w:ascii="Cambria Math" w:hAnsi="Cambria Math"/>
                </w:rPr>
              </m:ctrlPr>
            </m:e>
          </m:d>
        </m:oMath>
      </m:oMathPara>
    </w:p>
    <w:p>
      <w:pPr>
        <w:pStyle w:val="46"/>
      </w:pPr>
      <w:r>
        <w:t xml:space="preserve">Table </w:t>
      </w:r>
      <w:r>
        <w:rPr>
          <w:bCs/>
        </w:rPr>
        <w:t>6.2.2.1-</w:t>
      </w:r>
      <w:r>
        <w:rPr>
          <w:rFonts w:hint="eastAsia"/>
          <w:bCs/>
          <w:lang w:val="en-US" w:eastAsia="zh-CN"/>
        </w:rPr>
        <w:t>1a</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cs="Arial"/>
          <w:vertAlign w:val="subscript"/>
        </w:rPr>
        <w:t xml:space="preserve"> </w:t>
      </w:r>
      <w:r>
        <w:t>in NB-IoT channel bandwidth</w:t>
      </w:r>
    </w:p>
    <w:tbl>
      <w:tblPr>
        <w:tblStyle w:val="23"/>
        <w:tblW w:w="8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gridCol w:w="189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3"/>
              <w:rPr>
                <w:rFonts w:cs="Arial"/>
                <w:lang w:eastAsia="ja-JP"/>
              </w:rPr>
            </w:pPr>
            <w:r>
              <w:rPr>
                <w:rFonts w:cs="Arial"/>
                <w:lang w:eastAsia="ja-JP"/>
              </w:rPr>
              <w:t>NB-IoT</w:t>
            </w:r>
          </w:p>
        </w:tc>
        <w:tc>
          <w:tcPr>
            <w:tcW w:w="1800" w:type="dxa"/>
            <w:vAlign w:val="center"/>
          </w:tcPr>
          <w:p>
            <w:pPr>
              <w:pStyle w:val="33"/>
              <w:rPr>
                <w:rFonts w:cs="Arial"/>
                <w:lang w:eastAsia="ja-JP"/>
              </w:rPr>
            </w:pPr>
            <w:r>
              <w:rPr>
                <w:rFonts w:cs="Arial"/>
                <w:lang w:eastAsia="ja-JP"/>
              </w:rPr>
              <w:t>Standalone</w:t>
            </w:r>
          </w:p>
        </w:tc>
        <w:tc>
          <w:tcPr>
            <w:tcW w:w="1890" w:type="dxa"/>
            <w:vAlign w:val="center"/>
          </w:tcPr>
          <w:p>
            <w:pPr>
              <w:pStyle w:val="33"/>
              <w:rPr>
                <w:rFonts w:cs="Arial"/>
                <w:lang w:eastAsia="ja-JP"/>
              </w:rPr>
            </w:pPr>
            <w:r>
              <w:rPr>
                <w:rFonts w:cs="Arial"/>
                <w:lang w:eastAsia="ja-JP"/>
              </w:rPr>
              <w:t>In-band</w:t>
            </w:r>
          </w:p>
        </w:tc>
        <w:tc>
          <w:tcPr>
            <w:tcW w:w="1980" w:type="dxa"/>
            <w:vAlign w:val="center"/>
          </w:tcPr>
          <w:p>
            <w:pPr>
              <w:pStyle w:val="33"/>
              <w:rPr>
                <w:rFonts w:cs="Arial"/>
                <w:lang w:eastAsia="ja-JP"/>
              </w:rPr>
            </w:pPr>
            <w:r>
              <w:rPr>
                <w:rFonts w:cs="Arial"/>
                <w:lang w:eastAsia="ja-JP"/>
              </w:rPr>
              <w:t>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5"/>
              <w:rPr>
                <w:rFonts w:cs="Arial"/>
                <w:lang w:eastAsia="ja-JP"/>
              </w:rPr>
            </w:pPr>
            <w:r>
              <w:rPr>
                <w:rFonts w:cs="Arial"/>
                <w:lang w:eastAsia="ja-JP"/>
              </w:rPr>
              <w:t xml:space="preserve">Channel bandwidth </w:t>
            </w:r>
            <w:r>
              <w:rPr>
                <w:rFonts w:ascii="Times New Roman" w:hAnsi="Times New Roman" w:cs="Arial"/>
                <w:lang w:eastAsia="ja-JP"/>
              </w:rPr>
              <w:t>BW</w:t>
            </w:r>
            <w:r>
              <w:rPr>
                <w:rFonts w:ascii="Times New Roman" w:hAnsi="Times New Roman" w:cs="Arial"/>
                <w:vertAlign w:val="subscript"/>
                <w:lang w:eastAsia="ja-JP"/>
              </w:rPr>
              <w:t>Channel</w:t>
            </w:r>
            <w:r>
              <w:rPr>
                <w:rFonts w:ascii="Times New Roman" w:hAnsi="Times New Roman" w:cs="Arial"/>
                <w:kern w:val="2"/>
                <w:lang w:eastAsia="ja-JP"/>
              </w:rPr>
              <w:t xml:space="preserve"> </w:t>
            </w:r>
            <w:r>
              <w:rPr>
                <w:rFonts w:cs="Arial"/>
                <w:lang w:eastAsia="ja-JP"/>
              </w:rPr>
              <w:t>[kHz]</w:t>
            </w:r>
          </w:p>
        </w:tc>
        <w:tc>
          <w:tcPr>
            <w:tcW w:w="1800" w:type="dxa"/>
            <w:vAlign w:val="center"/>
          </w:tcPr>
          <w:p>
            <w:pPr>
              <w:pStyle w:val="34"/>
              <w:rPr>
                <w:rFonts w:cs="Arial"/>
                <w:lang w:eastAsia="ja-JP"/>
              </w:rPr>
            </w:pPr>
            <w:r>
              <w:rPr>
                <w:rFonts w:cs="Arial"/>
                <w:lang w:eastAsia="ja-JP"/>
              </w:rPr>
              <w:t>200</w:t>
            </w:r>
          </w:p>
        </w:tc>
        <w:tc>
          <w:tcPr>
            <w:tcW w:w="1890" w:type="dxa"/>
            <w:vAlign w:val="center"/>
          </w:tcPr>
          <w:p>
            <w:pPr>
              <w:pStyle w:val="34"/>
              <w:rPr>
                <w:rFonts w:hint="default" w:cs="Arial" w:eastAsiaTheme="minorEastAsia"/>
                <w:lang w:val="en-US" w:eastAsia="zh-CN"/>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RB</w:t>
            </w:r>
          </w:p>
        </w:tc>
        <w:tc>
          <w:tcPr>
            <w:tcW w:w="1800" w:type="dxa"/>
            <w:vAlign w:val="center"/>
          </w:tcPr>
          <w:p>
            <w:pPr>
              <w:pStyle w:val="34"/>
              <w:rPr>
                <w:rFonts w:cs="Arial"/>
                <w:lang w:eastAsia="ja-JP"/>
              </w:rPr>
            </w:pPr>
            <w:r>
              <w:rPr>
                <w:rFonts w:cs="Arial"/>
                <w:lang w:eastAsia="ja-JP"/>
              </w:rPr>
              <w:t>1</w:t>
            </w:r>
          </w:p>
        </w:tc>
        <w:tc>
          <w:tcPr>
            <w:tcW w:w="1890" w:type="dxa"/>
            <w:vAlign w:val="center"/>
          </w:tcPr>
          <w:p>
            <w:pPr>
              <w:pStyle w:val="34"/>
              <w:rPr>
                <w:rFonts w:cs="Arial"/>
                <w:lang w:eastAsia="ja-JP"/>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tone 15kHz</w:t>
            </w:r>
          </w:p>
        </w:tc>
        <w:tc>
          <w:tcPr>
            <w:tcW w:w="1800" w:type="dxa"/>
            <w:vAlign w:val="center"/>
          </w:tcPr>
          <w:p>
            <w:pPr>
              <w:pStyle w:val="34"/>
              <w:rPr>
                <w:rFonts w:cs="Arial"/>
                <w:lang w:eastAsia="ja-JP"/>
              </w:rPr>
            </w:pPr>
            <w:r>
              <w:rPr>
                <w:rFonts w:cs="Arial"/>
                <w:lang w:eastAsia="ja-JP"/>
              </w:rPr>
              <w:t>12</w:t>
            </w:r>
          </w:p>
        </w:tc>
        <w:tc>
          <w:tcPr>
            <w:tcW w:w="1890" w:type="dxa"/>
            <w:vAlign w:val="center"/>
          </w:tcPr>
          <w:p>
            <w:pPr>
              <w:pStyle w:val="34"/>
              <w:rPr>
                <w:rFonts w:cs="Arial"/>
                <w:lang w:eastAsia="ja-JP"/>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cs="Arial"/>
                <w:lang w:eastAsia="ja-JP"/>
              </w:rPr>
              <w:t>48</w:t>
            </w:r>
          </w:p>
        </w:tc>
        <w:tc>
          <w:tcPr>
            <w:tcW w:w="189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hint="eastAsia" w:cs="Arial"/>
                <w:lang w:val="en-US" w:eastAsia="zh-CN"/>
              </w:rPr>
              <w:t>NA</w:t>
            </w:r>
          </w:p>
        </w:tc>
        <w:tc>
          <w:tcPr>
            <w:tcW w:w="198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hint="eastAsia" w:cs="Arial"/>
                <w:lang w:val="en-US" w:eastAsia="zh-CN"/>
              </w:rPr>
              <w:t>NA</w:t>
            </w:r>
          </w:p>
        </w:tc>
      </w:tr>
    </w:tbl>
    <w:p>
      <w:pPr>
        <w:spacing w:after="120"/>
        <w:rPr>
          <w:rFonts w:eastAsia="宋体"/>
        </w:rPr>
      </w:pPr>
    </w:p>
    <w:p>
      <w:pPr>
        <w:pStyle w:val="46"/>
        <w:rPr>
          <w:rFonts w:hint="default" w:eastAsiaTheme="minorEastAsia"/>
          <w:lang w:val="en-US" w:eastAsia="zh-CN"/>
        </w:rPr>
      </w:pPr>
      <w:r>
        <w:t>T</w:t>
      </w:r>
      <w:r>
        <w:rPr>
          <w:rFonts w:hint="eastAsia"/>
        </w:rPr>
        <w:t>able 6.2.2.1-</w:t>
      </w:r>
      <w:r>
        <w:t>2:</w:t>
      </w:r>
      <w:r>
        <w:rPr>
          <w:rFonts w:hint="eastAsia"/>
        </w:rPr>
        <w:t xml:space="preserve"> Set-1 satellite parameters for co-existence study</w:t>
      </w:r>
    </w:p>
    <w:tbl>
      <w:tblPr>
        <w:tblStyle w:val="95"/>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672"/>
        <w:gridCol w:w="848"/>
        <w:gridCol w:w="1754"/>
        <w:gridCol w:w="1863"/>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7" w:type="dxa"/>
            <w:gridSpan w:val="3"/>
            <w:vAlign w:val="center"/>
          </w:tcPr>
          <w:p>
            <w:pPr>
              <w:pStyle w:val="34"/>
              <w:overflowPunct w:val="0"/>
              <w:autoSpaceDE w:val="0"/>
              <w:autoSpaceDN w:val="0"/>
              <w:adjustRightInd w:val="0"/>
              <w:spacing w:after="180"/>
              <w:textAlignment w:val="baseline"/>
              <w:rPr>
                <w:rFonts w:eastAsia="Yu Mincho"/>
              </w:rPr>
            </w:pPr>
            <w:r>
              <w:rPr>
                <w:rFonts w:eastAsia="Yu Mincho"/>
              </w:rPr>
              <w:t>Satellite orbit</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GEO</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LEO-1200</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7" w:type="dxa"/>
            <w:gridSpan w:val="3"/>
            <w:vAlign w:val="center"/>
          </w:tcPr>
          <w:p>
            <w:pPr>
              <w:pStyle w:val="34"/>
              <w:overflowPunct w:val="0"/>
              <w:autoSpaceDE w:val="0"/>
              <w:autoSpaceDN w:val="0"/>
              <w:adjustRightInd w:val="0"/>
              <w:spacing w:after="180"/>
              <w:textAlignment w:val="baseline"/>
              <w:rPr>
                <w:rFonts w:eastAsia="Yu Mincho"/>
              </w:rPr>
            </w:pPr>
            <w:r>
              <w:rPr>
                <w:rFonts w:eastAsia="Yu Mincho"/>
              </w:rPr>
              <w:t>Satellite altitude</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35786 km</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1200 km</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6"/>
            <w:vAlign w:val="center"/>
          </w:tcPr>
          <w:p>
            <w:pPr>
              <w:pStyle w:val="34"/>
              <w:overflowPunct w:val="0"/>
              <w:autoSpaceDE w:val="0"/>
              <w:autoSpaceDN w:val="0"/>
              <w:adjustRightInd w:val="0"/>
              <w:spacing w:after="180"/>
              <w:textAlignment w:val="baseline"/>
              <w:rPr>
                <w:rFonts w:eastAsia="Yu Mincho"/>
              </w:rPr>
            </w:pPr>
            <w:r>
              <w:rPr>
                <w:rFonts w:eastAsia="Yu Mincho"/>
              </w:rP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EIRP density</w:t>
            </w:r>
          </w:p>
        </w:tc>
        <w:tc>
          <w:tcPr>
            <w:tcW w:w="848" w:type="dxa"/>
            <w:vMerge w:val="restart"/>
            <w:vAlign w:val="center"/>
          </w:tcPr>
          <w:p>
            <w:pPr>
              <w:pStyle w:val="34"/>
              <w:overflowPunct w:val="0"/>
              <w:autoSpaceDE w:val="0"/>
              <w:autoSpaceDN w:val="0"/>
              <w:adjustRightInd w:val="0"/>
              <w:spacing w:after="180"/>
              <w:textAlignment w:val="baseline"/>
              <w:rPr>
                <w:rFonts w:eastAsia="Yu Mincho"/>
              </w:rPr>
            </w:pPr>
            <w:r>
              <w:rPr>
                <w:rFonts w:hint="eastAsia" w:eastAsia="Yu Mincho"/>
              </w:rPr>
              <w:t>2GHz</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59 dBW/MHz</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40 dBW/MHz</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pStyle w:val="35"/>
              <w:overflowPunct w:val="0"/>
              <w:autoSpaceDE w:val="0"/>
              <w:autoSpaceDN w:val="0"/>
              <w:adjustRightInd w:val="0"/>
              <w:spacing w:after="180"/>
              <w:textAlignment w:val="baseline"/>
              <w:rPr>
                <w:rFonts w:eastAsia="Yu Mincho"/>
              </w:rPr>
            </w:pPr>
            <w:r>
              <w:rPr>
                <w:rFonts w:eastAsia="Yu Mincho"/>
              </w:rPr>
              <w:t>Satellite max TX power in dBm</w:t>
            </w:r>
          </w:p>
        </w:tc>
        <w:tc>
          <w:tcPr>
            <w:tcW w:w="1672" w:type="dxa"/>
            <w:vAlign w:val="center"/>
          </w:tcPr>
          <w:p>
            <w:pPr>
              <w:pStyle w:val="35"/>
              <w:overflowPunct w:val="0"/>
              <w:autoSpaceDE w:val="0"/>
              <w:autoSpaceDN w:val="0"/>
              <w:adjustRightInd w:val="0"/>
              <w:spacing w:after="180"/>
              <w:textAlignment w:val="baseline"/>
              <w:rPr>
                <w:rFonts w:eastAsia="Yu Mincho"/>
              </w:rPr>
            </w:pPr>
            <w:r>
              <w:rPr>
                <w:rFonts w:hint="eastAsia" w:eastAsia="Yu Mincho"/>
              </w:rPr>
              <w:t>B</w:t>
            </w:r>
            <w:r>
              <w:rPr>
                <w:rFonts w:eastAsia="Yu Mincho"/>
              </w:rPr>
              <w:t>W (MHz)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hint="default" w:eastAsia="宋体"/>
                <w:lang w:val="en-US" w:eastAsia="zh-CN"/>
              </w:rPr>
            </w:pPr>
            <w:bookmarkStart w:id="26" w:name="OLE_LINK3"/>
            <w:r>
              <w:rPr>
                <w:rFonts w:hint="eastAsia" w:eastAsia="宋体"/>
                <w:lang w:val="en-US" w:eastAsia="zh-CN"/>
              </w:rPr>
              <w:t>0.2(NB-IoT)</w:t>
            </w:r>
            <w:bookmarkEnd w:id="26"/>
          </w:p>
        </w:tc>
        <w:tc>
          <w:tcPr>
            <w:tcW w:w="1863" w:type="dxa"/>
            <w:vAlign w:val="center"/>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0.2(NB-IoT)</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0.2(NB-IoT)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67" w:type="dxa"/>
            <w:vMerge w:val="continue"/>
            <w:vAlign w:val="center"/>
          </w:tcPr>
          <w:p>
            <w:pPr>
              <w:pStyle w:val="35"/>
              <w:overflowPunct w:val="0"/>
              <w:autoSpaceDE w:val="0"/>
              <w:autoSpaceDN w:val="0"/>
              <w:adjustRightInd w:val="0"/>
              <w:spacing w:after="180"/>
              <w:textAlignment w:val="baseline"/>
              <w:rPr>
                <w:rFonts w:eastAsia="Yu Mincho"/>
              </w:rPr>
            </w:pPr>
          </w:p>
        </w:tc>
        <w:tc>
          <w:tcPr>
            <w:tcW w:w="1672" w:type="dxa"/>
            <w:vAlign w:val="center"/>
          </w:tcPr>
          <w:p>
            <w:pPr>
              <w:pStyle w:val="35"/>
              <w:overflowPunct w:val="0"/>
              <w:autoSpaceDE w:val="0"/>
              <w:autoSpaceDN w:val="0"/>
              <w:adjustRightInd w:val="0"/>
              <w:spacing w:after="180"/>
              <w:textAlignment w:val="baseline"/>
              <w:rPr>
                <w:rFonts w:eastAsia="Yu Mincho"/>
              </w:rPr>
            </w:pPr>
            <w:r>
              <w:rPr>
                <w:rFonts w:hint="eastAsia" w:eastAsia="Yu Mincho"/>
              </w:rPr>
              <w:t>S</w:t>
            </w:r>
            <w:r>
              <w:rPr>
                <w:rFonts w:eastAsia="Yu Mincho"/>
              </w:rPr>
              <w:t>CS 15kHz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31.01</w:t>
            </w:r>
          </w:p>
        </w:tc>
        <w:tc>
          <w:tcPr>
            <w:tcW w:w="1863" w:type="dxa"/>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33.01</w:t>
            </w:r>
          </w:p>
        </w:tc>
        <w:tc>
          <w:tcPr>
            <w:tcW w:w="1946" w:type="dxa"/>
            <w:shd w:val="clear" w:color="auto" w:fill="auto"/>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27.01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267" w:type="dxa"/>
            <w:vMerge w:val="continue"/>
            <w:vAlign w:val="center"/>
          </w:tcPr>
          <w:p>
            <w:pPr>
              <w:pStyle w:val="35"/>
              <w:overflowPunct w:val="0"/>
              <w:autoSpaceDE w:val="0"/>
              <w:autoSpaceDN w:val="0"/>
              <w:adjustRightInd w:val="0"/>
              <w:spacing w:after="180"/>
              <w:textAlignment w:val="baseline"/>
              <w:rPr>
                <w:rFonts w:eastAsia="Yu Mincho"/>
              </w:rPr>
            </w:pPr>
          </w:p>
        </w:tc>
        <w:tc>
          <w:tcPr>
            <w:tcW w:w="1672" w:type="dxa"/>
            <w:vAlign w:val="center"/>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SCS 3.75khz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31.01</w:t>
            </w:r>
          </w:p>
        </w:tc>
        <w:tc>
          <w:tcPr>
            <w:tcW w:w="1863" w:type="dxa"/>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33.01</w:t>
            </w:r>
          </w:p>
        </w:tc>
        <w:tc>
          <w:tcPr>
            <w:tcW w:w="1946" w:type="dxa"/>
            <w:shd w:val="clear" w:color="auto" w:fill="auto"/>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27.01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Tx max Gain</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51 dBi</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30 dBi</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3dB beamwidth or HPBW (Half-Power BandWidth) of main central beam</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0.4011 deg</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4.4127 deg</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4.4127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ABS (Adjacent Beam Spacing) of adjacent beams from the central beam</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0.3474 deg</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3.8206 deg</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3.8206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beam diameter</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250 km</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90 km</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 xml:space="preserve">50 </w:t>
            </w:r>
            <w:r>
              <w:rPr>
                <w:rFonts w:eastAsia="Yu Mincho"/>
              </w:rPr>
              <w:t>k</w:t>
            </w:r>
            <w:r>
              <w:rPr>
                <w:rFonts w:hint="eastAsia" w:eastAsia="Yu Mincho"/>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6"/>
            <w:vAlign w:val="center"/>
          </w:tcPr>
          <w:p>
            <w:pPr>
              <w:pStyle w:val="34"/>
              <w:overflowPunct w:val="0"/>
              <w:autoSpaceDE w:val="0"/>
              <w:autoSpaceDN w:val="0"/>
              <w:adjustRightInd w:val="0"/>
              <w:spacing w:after="180"/>
              <w:textAlignment w:val="baseline"/>
              <w:rPr>
                <w:rFonts w:eastAsia="等线"/>
                <w:szCs w:val="15"/>
              </w:rPr>
            </w:pPr>
            <w:r>
              <w:rPr>
                <w:rFonts w:eastAsia="等线"/>
                <w:szCs w:val="15"/>
              </w:rPr>
              <w:t>Pa</w:t>
            </w:r>
            <w:r>
              <w:rPr>
                <w:rFonts w:eastAsiaTheme="minorEastAsia"/>
              </w:rPr>
              <w:t>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bookmarkStart w:id="27" w:name="OLE_LINK62"/>
            <w:r>
              <w:rPr>
                <w:rFonts w:eastAsia="Yu Mincho"/>
              </w:rPr>
              <w:t>G/T</w:t>
            </w:r>
            <w:bookmarkEnd w:id="27"/>
          </w:p>
        </w:tc>
        <w:tc>
          <w:tcPr>
            <w:tcW w:w="848" w:type="dxa"/>
            <w:vMerge w:val="restart"/>
            <w:vAlign w:val="center"/>
          </w:tcPr>
          <w:p>
            <w:pPr>
              <w:pStyle w:val="34"/>
              <w:overflowPunct w:val="0"/>
              <w:autoSpaceDE w:val="0"/>
              <w:autoSpaceDN w:val="0"/>
              <w:adjustRightInd w:val="0"/>
              <w:spacing w:after="180"/>
              <w:textAlignment w:val="baseline"/>
              <w:rPr>
                <w:rFonts w:eastAsia="Yu Mincho"/>
              </w:rPr>
            </w:pPr>
            <w:r>
              <w:rPr>
                <w:rFonts w:eastAsia="Yu Mincho"/>
              </w:rPr>
              <w:t>2 GHz</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19 dB K</w:t>
            </w:r>
            <w:r>
              <w:rPr>
                <w:rFonts w:eastAsia="Yu Mincho"/>
                <w:vertAlign w:val="superscript"/>
              </w:rPr>
              <w:t>-1</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1.1 dB K</w:t>
            </w:r>
            <w:r>
              <w:rPr>
                <w:rFonts w:eastAsia="Yu Mincho"/>
                <w:vertAlign w:val="superscript"/>
              </w:rPr>
              <w:t>-1</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1.1 dB K</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Rx max Gain</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51 dBi</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30 dBi</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30 dBi</w:t>
            </w:r>
          </w:p>
        </w:tc>
      </w:tr>
    </w:tbl>
    <w:p/>
    <w:p>
      <w:pPr>
        <w:pStyle w:val="46"/>
      </w:pPr>
      <w:r>
        <w:t>T</w:t>
      </w:r>
      <w:r>
        <w:rPr>
          <w:rFonts w:hint="eastAsia"/>
        </w:rPr>
        <w:t>able 6.2.2.1-</w:t>
      </w:r>
      <w:r>
        <w:t>4: Other parameters for NTN satellite</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45"/>
        <w:gridCol w:w="3981"/>
        <w:gridCol w:w="2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3"/>
            </w:pPr>
            <w:r>
              <w:t>Parameters</w:t>
            </w:r>
          </w:p>
        </w:tc>
        <w:tc>
          <w:tcPr>
            <w:tcW w:w="1998" w:type="pct"/>
            <w:tcBorders>
              <w:top w:val="single" w:color="auto" w:sz="4" w:space="0"/>
              <w:left w:val="single" w:color="auto" w:sz="4" w:space="0"/>
              <w:bottom w:val="single" w:color="auto" w:sz="4" w:space="0"/>
              <w:right w:val="single" w:color="auto" w:sz="4" w:space="0"/>
            </w:tcBorders>
          </w:tcPr>
          <w:p>
            <w:pPr>
              <w:pStyle w:val="33"/>
            </w:pPr>
            <w:r>
              <w:rPr>
                <w:rFonts w:hint="eastAsia" w:eastAsia="宋体"/>
                <w:lang w:val="en-US" w:eastAsia="zh-CN"/>
              </w:rPr>
              <w:t xml:space="preserve">NB-IoT over </w:t>
            </w:r>
            <w:r>
              <w:rPr>
                <w:rFonts w:hint="eastAsia"/>
              </w:rPr>
              <w:t>NTN</w:t>
            </w:r>
            <w:r>
              <w:t xml:space="preserve"> satellite</w:t>
            </w:r>
          </w:p>
        </w:tc>
        <w:tc>
          <w:tcPr>
            <w:tcW w:w="1323" w:type="pct"/>
            <w:tcBorders>
              <w:top w:val="single" w:color="auto" w:sz="4" w:space="0"/>
              <w:left w:val="single" w:color="auto" w:sz="4" w:space="0"/>
              <w:bottom w:val="single" w:color="auto" w:sz="4" w:space="0"/>
              <w:right w:val="single" w:color="auto" w:sz="4" w:space="0"/>
            </w:tcBorders>
          </w:tcPr>
          <w:p>
            <w:pPr>
              <w:pStyle w:val="33"/>
            </w:pPr>
            <w:r>
              <w:rPr>
                <w:rFonts w:hint="eastAsia"/>
              </w:rPr>
              <w:t>R</w:t>
            </w:r>
            <w:r>
              <w:t>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Carrier frequency</w:t>
            </w:r>
          </w:p>
        </w:tc>
        <w:tc>
          <w:tcPr>
            <w:tcW w:w="1998" w:type="pct"/>
            <w:tcBorders>
              <w:top w:val="single" w:color="auto" w:sz="4" w:space="0"/>
              <w:left w:val="single" w:color="auto" w:sz="4" w:space="0"/>
              <w:bottom w:val="single" w:color="auto" w:sz="4" w:space="0"/>
              <w:right w:val="single" w:color="auto" w:sz="4" w:space="0"/>
            </w:tcBorders>
          </w:tcPr>
          <w:p>
            <w:pPr>
              <w:pStyle w:val="34"/>
            </w:pPr>
            <w:r>
              <w:t>2GHz</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9" w:type="pct"/>
            <w:tcBorders>
              <w:top w:val="single" w:color="auto" w:sz="4" w:space="0"/>
              <w:left w:val="single" w:color="auto" w:sz="4" w:space="0"/>
              <w:bottom w:val="single" w:color="auto" w:sz="4" w:space="0"/>
              <w:right w:val="single" w:color="auto" w:sz="4" w:space="0"/>
            </w:tcBorders>
          </w:tcPr>
          <w:p>
            <w:pPr>
              <w:pStyle w:val="35"/>
              <w:rPr>
                <w:rFonts w:hint="default" w:eastAsia="宋体"/>
                <w:lang w:val="en-US" w:eastAsia="zh-CN"/>
              </w:rPr>
            </w:pPr>
            <w:r>
              <w:t xml:space="preserve">The number of active UE (UL) </w:t>
            </w:r>
            <w:r>
              <w:rPr>
                <w:rFonts w:hint="eastAsia"/>
                <w:lang w:val="en-US" w:eastAsia="zh-CN"/>
              </w:rPr>
              <w:t>for GEO and LEO ( Assumes 75% of NTN UE at TN for single-tone )</w:t>
            </w:r>
          </w:p>
        </w:tc>
        <w:tc>
          <w:tcPr>
            <w:tcW w:w="1998" w:type="pct"/>
            <w:tcBorders>
              <w:top w:val="single" w:color="auto" w:sz="4" w:space="0"/>
              <w:left w:val="single" w:color="auto" w:sz="4" w:space="0"/>
              <w:bottom w:val="single" w:color="auto" w:sz="4" w:space="0"/>
              <w:right w:val="single" w:color="auto" w:sz="4" w:space="0"/>
            </w:tcBorders>
          </w:tcPr>
          <w:p>
            <w:pPr>
              <w:pStyle w:val="34"/>
              <w:rPr>
                <w:rFonts w:hint="eastAsia" w:eastAsia="宋体"/>
                <w:lang w:val="en-US" w:eastAsia="zh-CN"/>
              </w:rPr>
            </w:pPr>
            <w:r>
              <w:t xml:space="preserve">9 UEs </w:t>
            </w:r>
            <w:r>
              <w:rPr>
                <w:rFonts w:hint="eastAsia" w:eastAsia="宋体"/>
                <w:lang w:val="en-US" w:eastAsia="zh-CN"/>
              </w:rPr>
              <w:t>for 15kHz SCS with single-tone</w:t>
            </w:r>
          </w:p>
          <w:p>
            <w:pPr>
              <w:pStyle w:val="34"/>
              <w:rPr>
                <w:rFonts w:eastAsia="宋体"/>
                <w:highlight w:val="green"/>
              </w:rPr>
            </w:pPr>
            <w:r>
              <w:rPr>
                <w:rFonts w:hint="eastAsia" w:eastAsia="宋体"/>
                <w:lang w:val="en-US" w:eastAsia="zh-CN"/>
              </w:rPr>
              <w:t>36 UEs for 3.75kHz SCS with single-tone</w:t>
            </w:r>
          </w:p>
        </w:tc>
        <w:tc>
          <w:tcPr>
            <w:tcW w:w="1323" w:type="pct"/>
            <w:tcBorders>
              <w:top w:val="single" w:color="auto" w:sz="4" w:space="0"/>
              <w:left w:val="single" w:color="auto" w:sz="4" w:space="0"/>
              <w:bottom w:val="single" w:color="auto" w:sz="4" w:space="0"/>
              <w:right w:val="single" w:color="auto" w:sz="4" w:space="0"/>
            </w:tcBorders>
          </w:tcPr>
          <w:p>
            <w:pPr>
              <w:pStyle w:val="34"/>
              <w:rPr>
                <w:lang w:eastAsia="zh-CN"/>
              </w:rPr>
            </w:pPr>
            <w:r>
              <w:rPr>
                <w:rFonts w:hint="eastAsia"/>
                <w:lang w:eastAsia="zh-CN"/>
              </w:rPr>
              <w:t>N</w:t>
            </w:r>
            <w:r>
              <w:rPr>
                <w:lang w:eastAsia="zh-CN"/>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 xml:space="preserve">The number of active UE (DL) </w:t>
            </w:r>
          </w:p>
        </w:tc>
        <w:tc>
          <w:tcPr>
            <w:tcW w:w="1998" w:type="pct"/>
            <w:tcBorders>
              <w:top w:val="single" w:color="auto" w:sz="4" w:space="0"/>
              <w:left w:val="single" w:color="auto" w:sz="4" w:space="0"/>
              <w:bottom w:val="single" w:color="auto" w:sz="4" w:space="0"/>
              <w:right w:val="single" w:color="auto" w:sz="4" w:space="0"/>
            </w:tcBorders>
          </w:tcPr>
          <w:p>
            <w:pPr>
              <w:pStyle w:val="34"/>
            </w:pPr>
            <w:r>
              <w:t>1</w:t>
            </w:r>
          </w:p>
        </w:tc>
        <w:tc>
          <w:tcPr>
            <w:tcW w:w="1323" w:type="pct"/>
            <w:tcBorders>
              <w:top w:val="single" w:color="auto" w:sz="4" w:space="0"/>
              <w:left w:val="single" w:color="auto" w:sz="4" w:space="0"/>
              <w:bottom w:val="single" w:color="auto" w:sz="4" w:space="0"/>
              <w:right w:val="single" w:color="auto" w:sz="4" w:space="0"/>
            </w:tcBorders>
          </w:tcPr>
          <w:p>
            <w:pPr>
              <w:pStyle w:val="34"/>
            </w:pPr>
            <w:r>
              <w:rPr>
                <w:rFonts w:hint="eastAsia"/>
              </w:rPr>
              <w:t>S</w:t>
            </w:r>
            <w:r>
              <w:t>ame with 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Traffic model</w:t>
            </w:r>
          </w:p>
        </w:tc>
        <w:tc>
          <w:tcPr>
            <w:tcW w:w="1998" w:type="pct"/>
            <w:tcBorders>
              <w:top w:val="single" w:color="auto" w:sz="4" w:space="0"/>
              <w:left w:val="single" w:color="auto" w:sz="4" w:space="0"/>
              <w:bottom w:val="single" w:color="auto" w:sz="4" w:space="0"/>
              <w:right w:val="single" w:color="auto" w:sz="4" w:space="0"/>
            </w:tcBorders>
          </w:tcPr>
          <w:p>
            <w:pPr>
              <w:pStyle w:val="34"/>
            </w:pPr>
            <w:r>
              <w:t>Full buffer</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DL power control</w:t>
            </w:r>
          </w:p>
        </w:tc>
        <w:tc>
          <w:tcPr>
            <w:tcW w:w="1998" w:type="pct"/>
            <w:tcBorders>
              <w:top w:val="single" w:color="auto" w:sz="4" w:space="0"/>
              <w:left w:val="single" w:color="auto" w:sz="4" w:space="0"/>
              <w:bottom w:val="single" w:color="auto" w:sz="4" w:space="0"/>
              <w:right w:val="single" w:color="auto" w:sz="4" w:space="0"/>
            </w:tcBorders>
          </w:tcPr>
          <w:p>
            <w:pPr>
              <w:pStyle w:val="34"/>
            </w:pPr>
            <w:r>
              <w:t>NO</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UL power control</w:t>
            </w:r>
          </w:p>
        </w:tc>
        <w:tc>
          <w:tcPr>
            <w:tcW w:w="1998" w:type="pct"/>
            <w:tcBorders>
              <w:top w:val="single" w:color="auto" w:sz="4" w:space="0"/>
              <w:left w:val="single" w:color="auto" w:sz="4" w:space="0"/>
              <w:bottom w:val="single" w:color="auto" w:sz="4" w:space="0"/>
              <w:right w:val="single" w:color="auto" w:sz="4" w:space="0"/>
            </w:tcBorders>
          </w:tcPr>
          <w:p>
            <w:pPr>
              <w:pStyle w:val="34"/>
              <w:rPr>
                <w:highlight w:val="yellow"/>
              </w:rPr>
            </w:pPr>
            <w:r>
              <w:rPr>
                <w:rFonts w:hint="eastAsia"/>
              </w:rPr>
              <w:t>S</w:t>
            </w:r>
            <w:r>
              <w:t>ee Session 6.2.6</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NTN satellite Noise Figure in dB</w:t>
            </w:r>
          </w:p>
        </w:tc>
        <w:tc>
          <w:tcPr>
            <w:tcW w:w="1998" w:type="pct"/>
            <w:tcBorders>
              <w:top w:val="single" w:color="auto" w:sz="4" w:space="0"/>
              <w:left w:val="single" w:color="auto" w:sz="4" w:space="0"/>
              <w:bottom w:val="single" w:color="auto" w:sz="4" w:space="0"/>
              <w:right w:val="single" w:color="auto" w:sz="4" w:space="0"/>
            </w:tcBorders>
          </w:tcPr>
          <w:p>
            <w:pPr>
              <w:pStyle w:val="34"/>
              <w:rPr>
                <w:rFonts w:hint="default" w:eastAsia="宋体"/>
                <w:highlight w:val="yellow"/>
                <w:lang w:val="en-US" w:eastAsia="zh-CN"/>
              </w:rPr>
            </w:pPr>
            <w:r>
              <w:t xml:space="preserve">See Table </w:t>
            </w:r>
            <w:r>
              <w:rPr>
                <w:rFonts w:hint="eastAsia" w:eastAsia="宋体"/>
                <w:lang w:val="en-US" w:eastAsia="zh-CN"/>
              </w:rPr>
              <w:t>6.2.2.1-5</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rPr>
                <w:rFonts w:hint="eastAsia"/>
              </w:rPr>
              <w:t>H</w:t>
            </w:r>
            <w:r>
              <w:t>andover margin</w:t>
            </w:r>
          </w:p>
        </w:tc>
        <w:tc>
          <w:tcPr>
            <w:tcW w:w="1998" w:type="pct"/>
            <w:tcBorders>
              <w:top w:val="single" w:color="auto" w:sz="4" w:space="0"/>
              <w:left w:val="single" w:color="auto" w:sz="4" w:space="0"/>
              <w:bottom w:val="single" w:color="auto" w:sz="4" w:space="0"/>
              <w:right w:val="single" w:color="auto" w:sz="4" w:space="0"/>
            </w:tcBorders>
          </w:tcPr>
          <w:p>
            <w:pPr>
              <w:pStyle w:val="34"/>
            </w:pPr>
            <w:r>
              <w:t>3dB</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pStyle w:val="47"/>
              <w:rPr>
                <w:rFonts w:eastAsia="等线"/>
                <w:sz w:val="18"/>
                <w:szCs w:val="18"/>
              </w:rPr>
            </w:pPr>
            <w:r>
              <w:rPr>
                <w:rFonts w:hint="eastAsia"/>
              </w:rPr>
              <w:t>N</w:t>
            </w:r>
            <w:r>
              <w:t>OTE</w:t>
            </w:r>
            <w:r>
              <w:rPr>
                <w:rFonts w:hint="eastAsia"/>
              </w:rPr>
              <w:t>:</w:t>
            </w:r>
            <w:r>
              <w:tab/>
            </w:r>
            <w:r>
              <w:t>Scheduled PRB position for UE1 per satellite beam should be also fully aligned to simulate the worst case for co-channel interference and this is also aligned with full buffer case.</w:t>
            </w:r>
          </w:p>
        </w:tc>
      </w:tr>
    </w:tbl>
    <w:p/>
    <w:p>
      <w:pPr>
        <w:pStyle w:val="46"/>
        <w:rPr>
          <w:rFonts w:eastAsia="等线"/>
          <w:szCs w:val="15"/>
        </w:rPr>
      </w:pPr>
      <w:r>
        <w:t xml:space="preserve">Table </w:t>
      </w:r>
      <w:r>
        <w:rPr>
          <w:rFonts w:hint="eastAsia"/>
        </w:rPr>
        <w:t>6.2.2.1</w:t>
      </w:r>
      <w:r>
        <w:t>-5: NTN satellite Noise Figure in dB</w:t>
      </w:r>
    </w:p>
    <w:tbl>
      <w:tblPr>
        <w:tblStyle w:val="95"/>
        <w:tblW w:w="7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845"/>
        <w:gridCol w:w="1985"/>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3"/>
              <w:overflowPunct w:val="0"/>
              <w:autoSpaceDE w:val="0"/>
              <w:autoSpaceDN w:val="0"/>
              <w:adjustRightInd w:val="0"/>
              <w:spacing w:after="180"/>
              <w:textAlignment w:val="baseline"/>
              <w:rPr>
                <w:rFonts w:eastAsia="Yu Mincho"/>
              </w:rPr>
            </w:pPr>
            <w:r>
              <w:rPr>
                <w:rFonts w:eastAsia="Yu Mincho"/>
              </w:rPr>
              <w:t>Satellite</w:t>
            </w:r>
          </w:p>
        </w:tc>
        <w:tc>
          <w:tcPr>
            <w:tcW w:w="1840" w:type="dxa"/>
          </w:tcPr>
          <w:p>
            <w:pPr>
              <w:pStyle w:val="33"/>
              <w:overflowPunct w:val="0"/>
              <w:autoSpaceDE w:val="0"/>
              <w:autoSpaceDN w:val="0"/>
              <w:adjustRightInd w:val="0"/>
              <w:spacing w:after="180"/>
              <w:textAlignment w:val="baseline"/>
              <w:rPr>
                <w:rFonts w:eastAsia="Yu Mincho"/>
              </w:rPr>
            </w:pPr>
            <w:r>
              <w:rPr>
                <w:rFonts w:eastAsia="Yu Mincho"/>
              </w:rPr>
              <w:t>GEO</w:t>
            </w:r>
          </w:p>
        </w:tc>
        <w:tc>
          <w:tcPr>
            <w:tcW w:w="1980" w:type="dxa"/>
          </w:tcPr>
          <w:p>
            <w:pPr>
              <w:pStyle w:val="33"/>
              <w:overflowPunct w:val="0"/>
              <w:autoSpaceDE w:val="0"/>
              <w:autoSpaceDN w:val="0"/>
              <w:adjustRightInd w:val="0"/>
              <w:spacing w:after="180"/>
              <w:textAlignment w:val="baseline"/>
              <w:rPr>
                <w:rFonts w:eastAsia="Yu Mincho"/>
              </w:rPr>
            </w:pPr>
            <w:r>
              <w:rPr>
                <w:rFonts w:eastAsia="Yu Mincho"/>
              </w:rPr>
              <w:t>LEO 600</w:t>
            </w:r>
          </w:p>
        </w:tc>
        <w:tc>
          <w:tcPr>
            <w:tcW w:w="2120" w:type="dxa"/>
          </w:tcPr>
          <w:p>
            <w:pPr>
              <w:pStyle w:val="33"/>
              <w:overflowPunct w:val="0"/>
              <w:autoSpaceDE w:val="0"/>
              <w:autoSpaceDN w:val="0"/>
              <w:adjustRightInd w:val="0"/>
              <w:spacing w:after="180"/>
              <w:textAlignment w:val="baseline"/>
              <w:rPr>
                <w:rFonts w:eastAsia="Yu Mincho"/>
              </w:rPr>
            </w:pPr>
            <w:r>
              <w:rPr>
                <w:rFonts w:eastAsia="Yu Mincho"/>
              </w:rPr>
              <w:t>LEO 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G/T (dB K</w:t>
            </w:r>
            <w:r>
              <w:rPr>
                <w:rFonts w:eastAsia="Yu Mincho"/>
                <w:vertAlign w:val="superscript"/>
              </w:rPr>
              <w:t>-1</w:t>
            </w:r>
            <w:r>
              <w:rPr>
                <w:rFonts w:eastAsia="Yu Mincho"/>
              </w:rPr>
              <w:t>)</w:t>
            </w:r>
          </w:p>
        </w:tc>
        <w:tc>
          <w:tcPr>
            <w:tcW w:w="1840" w:type="dxa"/>
          </w:tcPr>
          <w:p>
            <w:pPr>
              <w:pStyle w:val="34"/>
              <w:overflowPunct w:val="0"/>
              <w:autoSpaceDE w:val="0"/>
              <w:autoSpaceDN w:val="0"/>
              <w:adjustRightInd w:val="0"/>
              <w:spacing w:after="180"/>
              <w:textAlignment w:val="baseline"/>
              <w:rPr>
                <w:rFonts w:eastAsia="Yu Mincho"/>
              </w:rPr>
            </w:pPr>
            <w:r>
              <w:rPr>
                <w:rFonts w:eastAsia="Yu Mincho"/>
              </w:rPr>
              <w:t>19</w:t>
            </w:r>
          </w:p>
        </w:tc>
        <w:tc>
          <w:tcPr>
            <w:tcW w:w="1980" w:type="dxa"/>
          </w:tcPr>
          <w:p>
            <w:pPr>
              <w:pStyle w:val="34"/>
              <w:overflowPunct w:val="0"/>
              <w:autoSpaceDE w:val="0"/>
              <w:autoSpaceDN w:val="0"/>
              <w:adjustRightInd w:val="0"/>
              <w:spacing w:after="180"/>
              <w:textAlignment w:val="baseline"/>
              <w:rPr>
                <w:rFonts w:eastAsia="Yu Mincho"/>
              </w:rPr>
            </w:pPr>
            <w:r>
              <w:rPr>
                <w:rFonts w:eastAsia="Yu Mincho"/>
              </w:rPr>
              <w:t>1.1</w:t>
            </w:r>
          </w:p>
        </w:tc>
        <w:tc>
          <w:tcPr>
            <w:tcW w:w="2120" w:type="dxa"/>
          </w:tcPr>
          <w:p>
            <w:pPr>
              <w:pStyle w:val="34"/>
              <w:overflowPunct w:val="0"/>
              <w:autoSpaceDE w:val="0"/>
              <w:autoSpaceDN w:val="0"/>
              <w:adjustRightInd w:val="0"/>
              <w:spacing w:after="180"/>
              <w:textAlignment w:val="baseline"/>
              <w:rPr>
                <w:rFonts w:eastAsia="Yu Mincho"/>
              </w:rPr>
            </w:pPr>
            <w:r>
              <w:rPr>
                <w:rFonts w:eastAsia="Yu Mincho"/>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G_Rx (dBi)</w:t>
            </w:r>
          </w:p>
        </w:tc>
        <w:tc>
          <w:tcPr>
            <w:tcW w:w="1840" w:type="dxa"/>
          </w:tcPr>
          <w:p>
            <w:pPr>
              <w:pStyle w:val="34"/>
              <w:overflowPunct w:val="0"/>
              <w:autoSpaceDE w:val="0"/>
              <w:autoSpaceDN w:val="0"/>
              <w:adjustRightInd w:val="0"/>
              <w:spacing w:after="180"/>
              <w:textAlignment w:val="baseline"/>
              <w:rPr>
                <w:rFonts w:eastAsia="Yu Mincho"/>
              </w:rPr>
            </w:pPr>
            <w:r>
              <w:rPr>
                <w:rFonts w:eastAsia="Yu Mincho"/>
              </w:rPr>
              <w:t>51</w:t>
            </w:r>
          </w:p>
        </w:tc>
        <w:tc>
          <w:tcPr>
            <w:tcW w:w="1980" w:type="dxa"/>
          </w:tcPr>
          <w:p>
            <w:pPr>
              <w:pStyle w:val="34"/>
              <w:overflowPunct w:val="0"/>
              <w:autoSpaceDE w:val="0"/>
              <w:autoSpaceDN w:val="0"/>
              <w:adjustRightInd w:val="0"/>
              <w:spacing w:after="180"/>
              <w:textAlignment w:val="baseline"/>
              <w:rPr>
                <w:rFonts w:eastAsia="Yu Mincho"/>
              </w:rPr>
            </w:pPr>
            <w:r>
              <w:rPr>
                <w:rFonts w:eastAsia="Yu Mincho"/>
              </w:rPr>
              <w:t>30</w:t>
            </w:r>
          </w:p>
        </w:tc>
        <w:tc>
          <w:tcPr>
            <w:tcW w:w="2120" w:type="dxa"/>
          </w:tcPr>
          <w:p>
            <w:pPr>
              <w:pStyle w:val="34"/>
              <w:overflowPunct w:val="0"/>
              <w:autoSpaceDE w:val="0"/>
              <w:autoSpaceDN w:val="0"/>
              <w:adjustRightInd w:val="0"/>
              <w:spacing w:after="180"/>
              <w:textAlignment w:val="baseline"/>
              <w:rPr>
                <w:rFonts w:eastAsia="Yu Mincho"/>
              </w:rPr>
            </w:pPr>
            <w:r>
              <w:rPr>
                <w:rFonts w:eastAsia="Yu Minch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NF (dB)</w:t>
            </w:r>
          </w:p>
        </w:tc>
        <w:tc>
          <w:tcPr>
            <w:tcW w:w="1840" w:type="dxa"/>
          </w:tcPr>
          <w:p>
            <w:pPr>
              <w:pStyle w:val="34"/>
              <w:overflowPunct w:val="0"/>
              <w:autoSpaceDE w:val="0"/>
              <w:autoSpaceDN w:val="0"/>
              <w:adjustRightInd w:val="0"/>
              <w:spacing w:after="180"/>
              <w:textAlignment w:val="baseline"/>
              <w:rPr>
                <w:rFonts w:eastAsia="Yu Mincho"/>
              </w:rPr>
            </w:pPr>
            <w:r>
              <w:rPr>
                <w:rFonts w:eastAsia="Yu Mincho"/>
                <w:bCs/>
              </w:rPr>
              <w:t>7.4</w:t>
            </w:r>
          </w:p>
        </w:tc>
        <w:tc>
          <w:tcPr>
            <w:tcW w:w="1980" w:type="dxa"/>
          </w:tcPr>
          <w:p>
            <w:pPr>
              <w:pStyle w:val="34"/>
              <w:overflowPunct w:val="0"/>
              <w:autoSpaceDE w:val="0"/>
              <w:autoSpaceDN w:val="0"/>
              <w:adjustRightInd w:val="0"/>
              <w:spacing w:after="180"/>
              <w:textAlignment w:val="baseline"/>
              <w:rPr>
                <w:rFonts w:eastAsia="Yu Mincho"/>
              </w:rPr>
            </w:pPr>
            <w:r>
              <w:rPr>
                <w:rFonts w:eastAsia="Yu Mincho"/>
                <w:bCs/>
              </w:rPr>
              <w:t>4.3</w:t>
            </w:r>
          </w:p>
        </w:tc>
        <w:tc>
          <w:tcPr>
            <w:tcW w:w="2120" w:type="dxa"/>
          </w:tcPr>
          <w:p>
            <w:pPr>
              <w:pStyle w:val="34"/>
              <w:overflowPunct w:val="0"/>
              <w:autoSpaceDE w:val="0"/>
              <w:autoSpaceDN w:val="0"/>
              <w:adjustRightInd w:val="0"/>
              <w:spacing w:after="180"/>
              <w:textAlignment w:val="baseline"/>
              <w:rPr>
                <w:rFonts w:eastAsia="Yu Mincho"/>
              </w:rPr>
            </w:pPr>
            <w:r>
              <w:rPr>
                <w:rFonts w:eastAsia="Yu Mincho"/>
                <w:bCs/>
              </w:rPr>
              <w:t>4.3</w:t>
            </w:r>
          </w:p>
        </w:tc>
      </w:tr>
    </w:tbl>
    <w:p>
      <w:bookmarkStart w:id="28" w:name="_Toc87889244"/>
    </w:p>
    <w:p>
      <w:pPr>
        <w:rPr>
          <w:rFonts w:hint="default"/>
          <w:lang w:val="en-US" w:eastAsia="zh-CN"/>
        </w:rPr>
      </w:pPr>
      <w:r>
        <w:rPr>
          <w:rFonts w:hint="eastAsia"/>
          <w:lang w:val="en-US" w:eastAsia="zh-CN"/>
        </w:rPr>
        <w:t xml:space="preserve">Note: there were 5 sets of </w:t>
      </w:r>
    </w:p>
    <w:p>
      <w:pPr>
        <w:rPr>
          <w:lang w:val="en-US"/>
        </w:rPr>
      </w:pPr>
      <w:r>
        <w:rPr>
          <w:lang w:val="en-US"/>
        </w:rPr>
        <w:t>The NTN BS Noise Figure could be calculated from the gain-to-noise-temperature ration (G/T) and the Rx antenna gain, using following formula:</w:t>
      </w:r>
    </w:p>
    <w:p>
      <w:pPr>
        <w:ind w:firstLine="720"/>
        <w:rPr>
          <w:lang w:val="en-US"/>
        </w:rPr>
      </w:pPr>
      <w:r>
        <w:rPr>
          <w:lang w:val="en-US"/>
        </w:rPr>
        <w:t xml:space="preserve"> </w:t>
      </w:r>
      <m:oMath>
        <m:r>
          <w:rPr>
            <w:rFonts w:ascii="Cambria Math" w:hAnsi="Cambria Math"/>
            <w:lang w:val="en-US"/>
          </w:rPr>
          <m:t>NF =10 Log10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ctrlPr>
                  <w:rPr>
                    <w:rFonts w:ascii="Cambria Math" w:hAnsi="Cambria Math"/>
                    <w:i/>
                    <w:lang w:val="en-US"/>
                  </w:rPr>
                </m:ctrlPr>
              </m:e>
              <m:sub>
                <m:r>
                  <w:rPr>
                    <w:rFonts w:ascii="Cambria Math" w:hAnsi="Cambria Math"/>
                    <w:lang w:val="en-US"/>
                  </w:rPr>
                  <m:t>_sys</m:t>
                </m:r>
                <m:ctrlPr>
                  <w:rPr>
                    <w:rFonts w:ascii="Cambria Math" w:hAnsi="Cambria Math"/>
                    <w:i/>
                    <w:lang w:val="en-US"/>
                  </w:rPr>
                </m:ctrlPr>
              </m:sub>
            </m:sSub>
            <m:ctrlPr>
              <w:rPr>
                <w:rFonts w:ascii="Cambria Math" w:hAnsi="Cambria Math"/>
                <w:i/>
                <w:lang w:val="en-US"/>
              </w:rPr>
            </m:ctrlPr>
          </m:num>
          <m:den>
            <m:r>
              <w:rPr>
                <w:rFonts w:ascii="Cambria Math" w:hAnsi="Cambria Math"/>
                <w:lang w:val="en-US"/>
              </w:rPr>
              <m:t>T_0</m:t>
            </m:r>
            <m:ctrlPr>
              <w:rPr>
                <w:rFonts w:ascii="Cambria Math" w:hAnsi="Cambria Math"/>
                <w:i/>
                <w:lang w:val="en-US"/>
              </w:rPr>
            </m:ctrlPr>
          </m:den>
        </m:f>
        <m:r>
          <w:rPr>
            <w:rFonts w:ascii="Cambria Math" w:hAnsi="Cambria Math"/>
            <w:lang w:val="en-US"/>
          </w:rPr>
          <m:t>)</m:t>
        </m:r>
      </m:oMath>
      <w:r>
        <w:rPr>
          <w:lang w:val="en-US"/>
        </w:rPr>
        <w:tab/>
      </w:r>
      <w:r>
        <w:rPr>
          <w:lang w:val="en-US"/>
        </w:rPr>
        <w:t xml:space="preserve">, with T_0 = 290 </w:t>
      </w:r>
    </w:p>
    <w:p>
      <w:pPr>
        <w:rPr>
          <w:lang w:val="en-US"/>
        </w:rPr>
      </w:pPr>
      <w:r>
        <w:rPr>
          <w:lang w:val="en-US"/>
        </w:rPr>
        <w:t>And</w:t>
      </w:r>
    </w:p>
    <w:p>
      <w:pPr>
        <w:ind w:left="720" w:firstLine="720"/>
        <w:rPr>
          <w:lang w:val="en-US"/>
        </w:rPr>
      </w:pPr>
      <m:oMathPara>
        <m:oMathParaPr>
          <m:jc m:val="left"/>
        </m:oMathParaPr>
        <m:oMath>
          <m:f>
            <m:fPr>
              <m:ctrlPr>
                <w:rPr>
                  <w:rFonts w:ascii="Cambria Math" w:hAnsi="Cambria Math"/>
                  <w:i/>
                  <w:lang w:val="en-US"/>
                </w:rPr>
              </m:ctrlPr>
            </m:fPr>
            <m:num>
              <m:r>
                <w:rPr>
                  <w:rFonts w:ascii="Cambria Math" w:hAnsi="Cambria Math"/>
                  <w:lang w:val="en-US"/>
                </w:rPr>
                <m:t>G</m:t>
              </m:r>
              <m:ctrlPr>
                <w:rPr>
                  <w:rFonts w:ascii="Cambria Math" w:hAnsi="Cambria Math"/>
                  <w:i/>
                  <w:lang w:val="en-US"/>
                </w:rPr>
              </m:ctrlPr>
            </m:num>
            <m:den>
              <m:r>
                <w:rPr>
                  <w:rFonts w:ascii="Cambria Math" w:hAnsi="Cambria Math"/>
                  <w:lang w:val="en-US"/>
                </w:rPr>
                <m:t>T</m:t>
              </m:r>
              <m:ctrlPr>
                <w:rPr>
                  <w:rFonts w:ascii="Cambria Math" w:hAnsi="Cambria Math"/>
                  <w:i/>
                  <w:lang w:val="en-US"/>
                </w:rPr>
              </m:ctrlP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ctrlPr>
                <w:rPr>
                  <w:rFonts w:ascii="Cambria Math" w:hAnsi="Cambria Math"/>
                  <w:i/>
                  <w:lang w:val="en-US"/>
                </w:rPr>
              </m:ctrlPr>
            </m:e>
            <m:sub>
              <m:sSub>
                <m:sSubPr>
                  <m:ctrlPr>
                    <w:rPr>
                      <w:rFonts w:ascii="Cambria Math" w:hAnsi="Cambria Math"/>
                      <w:i/>
                      <w:lang w:val="en-US"/>
                    </w:rPr>
                  </m:ctrlPr>
                </m:sSubPr>
                <m:e>
                  <m:ctrlPr>
                    <w:rPr>
                      <w:rFonts w:ascii="Cambria Math" w:hAnsi="Cambria Math"/>
                      <w:i/>
                      <w:lang w:val="en-US"/>
                    </w:rPr>
                  </m:ctrlPr>
                </m:e>
                <m:sub>
                  <m:r>
                    <w:rPr>
                      <w:rFonts w:ascii="Cambria Math" w:hAnsi="Cambria Math"/>
                      <w:lang w:val="en-US"/>
                    </w:rPr>
                    <m:t>Rx</m:t>
                  </m:r>
                  <m:ctrlPr>
                    <w:rPr>
                      <w:rFonts w:ascii="Cambria Math" w:hAnsi="Cambria Math"/>
                      <w:i/>
                      <w:lang w:val="en-US"/>
                    </w:rPr>
                  </m:ctrlPr>
                </m:sub>
              </m:sSub>
              <m:ctrlPr>
                <w:rPr>
                  <w:rFonts w:ascii="Cambria Math" w:hAnsi="Cambria Math"/>
                  <w:i/>
                  <w:lang w:val="en-US"/>
                </w:rPr>
              </m:ctrlPr>
            </m:sub>
          </m:sSub>
          <m:r>
            <w:rPr>
              <w:rFonts w:ascii="Cambria Math" w:hAnsi="Cambria Math"/>
              <w:lang w:val="en-US"/>
            </w:rPr>
            <m:t>- 10 Log10 (T_sys)</m:t>
          </m:r>
        </m:oMath>
      </m:oMathPara>
    </w:p>
    <w:p>
      <w:pPr>
        <w:rPr>
          <w:lang w:val="en-US"/>
        </w:rPr>
      </w:pPr>
      <w:r>
        <w:rPr>
          <w:lang w:val="en-US"/>
        </w:rPr>
        <w:t xml:space="preserve">For the S-band, with Set 1 parameters, the BS NF are given in </w:t>
      </w:r>
      <w:r>
        <w:rPr>
          <w:lang w:val="en-US"/>
        </w:rPr>
        <w:fldChar w:fldCharType="begin"/>
      </w:r>
      <w:r>
        <w:rPr>
          <w:lang w:val="en-US"/>
        </w:rPr>
        <w:instrText xml:space="preserve"> REF _Ref71041448 \h </w:instrText>
      </w:r>
      <w:r>
        <w:rPr>
          <w:lang w:val="en-US"/>
        </w:rPr>
        <w:fldChar w:fldCharType="separate"/>
      </w:r>
      <w:r>
        <w:t>Table 2</w:t>
      </w:r>
      <w:r>
        <w:rPr>
          <w:lang w:val="en-US"/>
        </w:rPr>
        <w:fldChar w:fldCharType="end"/>
      </w:r>
      <w:r>
        <w:rPr>
          <w:lang w:val="en-US"/>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4"/>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Satellite</w:t>
            </w:r>
          </w:p>
        </w:tc>
        <w:tc>
          <w:tcPr>
            <w:tcW w:w="2464" w:type="dxa"/>
            <w:shd w:val="clear" w:color="auto" w:fill="EEECE1" w:themeFill="background2"/>
          </w:tcPr>
          <w:p>
            <w:pPr>
              <w:jc w:val="center"/>
              <w:rPr>
                <w:b/>
                <w:bCs/>
                <w:lang w:val="en-US"/>
              </w:rPr>
            </w:pPr>
            <w:r>
              <w:rPr>
                <w:b/>
                <w:bCs/>
                <w:lang w:val="en-US"/>
              </w:rPr>
              <w:t>GEO</w:t>
            </w:r>
          </w:p>
        </w:tc>
        <w:tc>
          <w:tcPr>
            <w:tcW w:w="2464" w:type="dxa"/>
            <w:shd w:val="clear" w:color="auto" w:fill="EEECE1" w:themeFill="background2"/>
          </w:tcPr>
          <w:p>
            <w:pPr>
              <w:jc w:val="center"/>
              <w:rPr>
                <w:b/>
                <w:bCs/>
                <w:lang w:val="en-US"/>
              </w:rPr>
            </w:pPr>
            <w:r>
              <w:rPr>
                <w:b/>
                <w:bCs/>
                <w:lang w:val="en-US"/>
              </w:rPr>
              <w:t>LEO 600</w:t>
            </w:r>
          </w:p>
        </w:tc>
        <w:tc>
          <w:tcPr>
            <w:tcW w:w="2464" w:type="dxa"/>
            <w:shd w:val="clear" w:color="auto" w:fill="EEECE1" w:themeFill="background2"/>
          </w:tcPr>
          <w:p>
            <w:pPr>
              <w:jc w:val="center"/>
              <w:rPr>
                <w:b/>
                <w:bCs/>
                <w:lang w:val="en-US"/>
              </w:rPr>
            </w:pPr>
            <w:r>
              <w:rPr>
                <w:b/>
                <w:bCs/>
                <w:lang w:val="en-US"/>
              </w:rPr>
              <w:t>LEO 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G/T (</w:t>
            </w:r>
            <w:r>
              <w:rPr>
                <w:b/>
                <w:bCs/>
              </w:rPr>
              <w:t>dB K</w:t>
            </w:r>
            <w:r>
              <w:rPr>
                <w:b/>
                <w:bCs/>
                <w:vertAlign w:val="superscript"/>
              </w:rPr>
              <w:t>-1</w:t>
            </w:r>
            <w:r>
              <w:rPr>
                <w:b/>
                <w:bCs/>
                <w:lang w:val="en-US"/>
              </w:rPr>
              <w:t>)</w:t>
            </w:r>
          </w:p>
        </w:tc>
        <w:tc>
          <w:tcPr>
            <w:tcW w:w="2464" w:type="dxa"/>
            <w:vAlign w:val="center"/>
          </w:tcPr>
          <w:p>
            <w:pPr>
              <w:jc w:val="center"/>
              <w:rPr>
                <w:lang w:val="en-US"/>
              </w:rPr>
            </w:pPr>
            <w:r>
              <w:t>19</w:t>
            </w:r>
          </w:p>
        </w:tc>
        <w:tc>
          <w:tcPr>
            <w:tcW w:w="2464" w:type="dxa"/>
            <w:vAlign w:val="center"/>
          </w:tcPr>
          <w:p>
            <w:pPr>
              <w:jc w:val="center"/>
              <w:rPr>
                <w:lang w:val="en-US"/>
              </w:rPr>
            </w:pPr>
            <w:r>
              <w:t>1.1</w:t>
            </w:r>
          </w:p>
        </w:tc>
        <w:tc>
          <w:tcPr>
            <w:tcW w:w="2464" w:type="dxa"/>
            <w:vAlign w:val="center"/>
          </w:tcPr>
          <w:p>
            <w:pPr>
              <w:jc w:val="center"/>
              <w:rPr>
                <w:lang w:val="en-US"/>
              </w:rPr>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G_Rx (dBi)</w:t>
            </w:r>
          </w:p>
        </w:tc>
        <w:tc>
          <w:tcPr>
            <w:tcW w:w="2464" w:type="dxa"/>
            <w:vAlign w:val="center"/>
          </w:tcPr>
          <w:p>
            <w:pPr>
              <w:jc w:val="center"/>
            </w:pPr>
            <w:r>
              <w:t>51</w:t>
            </w:r>
          </w:p>
        </w:tc>
        <w:tc>
          <w:tcPr>
            <w:tcW w:w="2464" w:type="dxa"/>
            <w:vAlign w:val="center"/>
          </w:tcPr>
          <w:p>
            <w:pPr>
              <w:jc w:val="center"/>
            </w:pPr>
            <w:r>
              <w:t>30</w:t>
            </w:r>
          </w:p>
        </w:tc>
        <w:tc>
          <w:tcPr>
            <w:tcW w:w="2464" w:type="dxa"/>
            <w:vAlign w:val="center"/>
          </w:tcPr>
          <w:p>
            <w:pPr>
              <w:jc w:val="center"/>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NF (dB)</w:t>
            </w:r>
          </w:p>
        </w:tc>
        <w:tc>
          <w:tcPr>
            <w:tcW w:w="2464" w:type="dxa"/>
          </w:tcPr>
          <w:p>
            <w:pPr>
              <w:jc w:val="center"/>
              <w:rPr>
                <w:lang w:val="en-US"/>
              </w:rPr>
            </w:pPr>
            <w:r>
              <w:rPr>
                <w:lang w:val="en-US"/>
              </w:rPr>
              <w:t>7.4</w:t>
            </w:r>
          </w:p>
        </w:tc>
        <w:tc>
          <w:tcPr>
            <w:tcW w:w="2464" w:type="dxa"/>
          </w:tcPr>
          <w:p>
            <w:pPr>
              <w:jc w:val="center"/>
              <w:rPr>
                <w:lang w:val="en-US"/>
              </w:rPr>
            </w:pPr>
            <w:r>
              <w:rPr>
                <w:lang w:val="en-US"/>
              </w:rPr>
              <w:t>4.3</w:t>
            </w:r>
          </w:p>
        </w:tc>
        <w:tc>
          <w:tcPr>
            <w:tcW w:w="2464" w:type="dxa"/>
          </w:tcPr>
          <w:p>
            <w:pPr>
              <w:keepNext/>
              <w:jc w:val="center"/>
              <w:rPr>
                <w:lang w:val="en-US"/>
              </w:rPr>
            </w:pPr>
            <w:r>
              <w:rPr>
                <w:lang w:val="en-US"/>
              </w:rPr>
              <w:t>4.3</w:t>
            </w:r>
          </w:p>
        </w:tc>
      </w:tr>
      <w:bookmarkEnd w:id="28"/>
    </w:tbl>
    <w:p>
      <w:bookmarkStart w:id="29" w:name="_Toc87889245"/>
    </w:p>
    <w:p>
      <w:pPr>
        <w:pStyle w:val="5"/>
        <w:rPr>
          <w:rFonts w:hint="default" w:cs="Arial" w:eastAsiaTheme="minorEastAsia"/>
          <w:b/>
          <w:lang w:val="en-US" w:eastAsia="zh-CN"/>
        </w:rPr>
      </w:pPr>
      <w:r>
        <w:rPr>
          <w:rFonts w:cs="Arial"/>
        </w:rPr>
        <w:t>6.2.2.</w:t>
      </w:r>
      <w:r>
        <w:rPr>
          <w:rFonts w:hint="eastAsia" w:cs="Arial"/>
          <w:lang w:val="en-US" w:eastAsia="zh-CN"/>
        </w:rPr>
        <w:t>4</w:t>
      </w:r>
      <w:r>
        <w:rPr>
          <w:rFonts w:cs="Arial"/>
        </w:rPr>
        <w:tab/>
      </w:r>
      <w:r>
        <w:rPr>
          <w:rFonts w:cs="Arial"/>
        </w:rPr>
        <w:t>NTN UE parameters</w:t>
      </w:r>
      <w:r>
        <w:rPr>
          <w:rFonts w:hint="eastAsia" w:cs="Arial"/>
          <w:lang w:val="en-US" w:eastAsia="zh-CN"/>
        </w:rPr>
        <w:t xml:space="preserve"> for standalone NB-IoT over NTN</w:t>
      </w:r>
    </w:p>
    <w:p>
      <w:pPr>
        <w:rPr>
          <w:rFonts w:hint="eastAsia" w:eastAsia="宋体"/>
          <w:lang w:val="en-US" w:eastAsia="zh-CN"/>
        </w:rPr>
      </w:pPr>
      <w:r>
        <w:rPr>
          <w:rFonts w:eastAsia="宋体"/>
        </w:rPr>
        <w:t xml:space="preserve">NTN UE parameters are given </w:t>
      </w:r>
      <w:r>
        <w:rPr>
          <w:rFonts w:hint="eastAsia" w:eastAsia="宋体"/>
        </w:rPr>
        <w:t xml:space="preserve">in Table </w:t>
      </w:r>
      <w:r>
        <w:rPr>
          <w:rFonts w:eastAsia="宋体"/>
        </w:rPr>
        <w:t>6.2.2.</w:t>
      </w:r>
      <w:r>
        <w:rPr>
          <w:rFonts w:hint="eastAsia" w:eastAsia="宋体"/>
          <w:lang w:val="en-US" w:eastAsia="zh-CN"/>
        </w:rPr>
        <w:t>4</w:t>
      </w:r>
      <w:r>
        <w:rPr>
          <w:rFonts w:hint="eastAsia" w:eastAsia="宋体"/>
        </w:rPr>
        <w:t>-</w:t>
      </w:r>
      <w:r>
        <w:rPr>
          <w:rFonts w:eastAsia="宋体"/>
        </w:rPr>
        <w:t>1</w:t>
      </w:r>
      <w:r>
        <w:rPr>
          <w:rFonts w:hint="eastAsia" w:eastAsia="宋体"/>
          <w:lang w:val="en-US" w:eastAsia="zh-CN"/>
        </w:rPr>
        <w:t>.</w:t>
      </w:r>
    </w:p>
    <w:p>
      <w:pPr>
        <w:pStyle w:val="46"/>
        <w:rPr>
          <w:rFonts w:hint="default" w:eastAsiaTheme="minorEastAsia"/>
          <w:lang w:val="en-US" w:eastAsia="zh-CN"/>
        </w:rPr>
      </w:pPr>
      <w:r>
        <w:t>T</w:t>
      </w:r>
      <w:r>
        <w:rPr>
          <w:rFonts w:hint="eastAsia"/>
        </w:rPr>
        <w:t xml:space="preserve">able </w:t>
      </w:r>
      <w:r>
        <w:t>6.2.2.</w:t>
      </w:r>
      <w:r>
        <w:rPr>
          <w:rFonts w:hint="eastAsia"/>
          <w:lang w:val="en-US" w:eastAsia="zh-CN"/>
        </w:rPr>
        <w:t>4</w:t>
      </w:r>
      <w:r>
        <w:t>-1: NTN UE characteristics for system level simulations</w:t>
      </w:r>
      <w:r>
        <w:rPr>
          <w:rFonts w:hint="eastAsia"/>
          <w:lang w:val="en-US" w:eastAsia="zh-CN"/>
        </w:rPr>
        <w:t xml:space="preserve"> for standalone NB-IoT</w:t>
      </w:r>
    </w:p>
    <w:tbl>
      <w:tblPr>
        <w:tblStyle w:val="23"/>
        <w:tblW w:w="44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8"/>
        <w:gridCol w:w="4978"/>
      </w:tblGrid>
      <w:tr>
        <w:tblPrEx>
          <w:tblCellMar>
            <w:top w:w="0" w:type="dxa"/>
            <w:left w:w="108" w:type="dxa"/>
            <w:bottom w:w="0" w:type="dxa"/>
            <w:right w:w="108" w:type="dxa"/>
          </w:tblCellMar>
        </w:tblPrEx>
        <w:trPr>
          <w:jc w:val="center"/>
        </w:trPr>
        <w:tc>
          <w:tcPr>
            <w:tcW w:w="2167" w:type="pct"/>
            <w:shd w:val="clear" w:color="auto" w:fill="auto"/>
          </w:tcPr>
          <w:p>
            <w:pPr>
              <w:pStyle w:val="33"/>
            </w:pPr>
            <w:r>
              <w:t>Characteristics</w:t>
            </w:r>
          </w:p>
        </w:tc>
        <w:tc>
          <w:tcPr>
            <w:tcW w:w="2833" w:type="pct"/>
            <w:shd w:val="clear" w:color="auto" w:fill="auto"/>
          </w:tcPr>
          <w:p>
            <w:pPr>
              <w:pStyle w:val="33"/>
            </w:pPr>
            <w:r>
              <w:t>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Frequency band</w:t>
            </w:r>
          </w:p>
        </w:tc>
        <w:tc>
          <w:tcPr>
            <w:tcW w:w="2833" w:type="pct"/>
            <w:shd w:val="clear" w:color="auto" w:fill="auto"/>
          </w:tcPr>
          <w:p>
            <w:pPr>
              <w:pStyle w:val="35"/>
            </w:pPr>
            <w:r>
              <w:t>S band (i.e. 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Antenna type and configuration</w:t>
            </w:r>
          </w:p>
        </w:tc>
        <w:tc>
          <w:tcPr>
            <w:tcW w:w="2833" w:type="pct"/>
            <w:shd w:val="clear" w:color="auto" w:fill="auto"/>
          </w:tcPr>
          <w:p>
            <w:pPr>
              <w:pStyle w:val="35"/>
            </w:pPr>
            <w:r>
              <w:t xml:space="preserve">(1, 1, </w:t>
            </w:r>
            <w:r>
              <w:rPr>
                <w:rFonts w:hint="eastAsia"/>
                <w:highlight w:val="none"/>
                <w:lang w:val="en-US" w:eastAsia="zh-CN"/>
              </w:rPr>
              <w:t>1</w:t>
            </w:r>
            <w:r>
              <w:t>)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Polarisation</w:t>
            </w:r>
          </w:p>
        </w:tc>
        <w:tc>
          <w:tcPr>
            <w:tcW w:w="2833" w:type="pct"/>
            <w:shd w:val="clear" w:color="auto" w:fill="auto"/>
          </w:tcPr>
          <w:p>
            <w:pPr>
              <w:pStyle w:val="35"/>
            </w:pPr>
            <w:r>
              <w:rPr>
                <w:strike/>
              </w:rPr>
              <w:t>Linear: +/-45°X-pol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 xml:space="preserve">Rx Antenna gain </w:t>
            </w:r>
          </w:p>
        </w:tc>
        <w:tc>
          <w:tcPr>
            <w:tcW w:w="2833" w:type="pct"/>
            <w:shd w:val="clear" w:color="auto" w:fill="auto"/>
          </w:tcPr>
          <w:p>
            <w:pPr>
              <w:pStyle w:val="35"/>
            </w:pPr>
            <w: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Antenna temperature</w:t>
            </w:r>
          </w:p>
        </w:tc>
        <w:tc>
          <w:tcPr>
            <w:tcW w:w="2833" w:type="pct"/>
            <w:shd w:val="clear" w:color="auto" w:fill="auto"/>
          </w:tcPr>
          <w:p>
            <w:pPr>
              <w:pStyle w:val="35"/>
            </w:pPr>
            <w: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Noise figure</w:t>
            </w:r>
          </w:p>
        </w:tc>
        <w:tc>
          <w:tcPr>
            <w:tcW w:w="2833" w:type="pct"/>
            <w:shd w:val="clear" w:color="auto" w:fill="auto"/>
          </w:tcPr>
          <w:p>
            <w:pPr>
              <w:pStyle w:val="35"/>
            </w:pPr>
            <w: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Tx transmit power</w:t>
            </w:r>
          </w:p>
        </w:tc>
        <w:tc>
          <w:tcPr>
            <w:tcW w:w="2833" w:type="pct"/>
            <w:shd w:val="clear" w:color="auto" w:fill="auto"/>
          </w:tcPr>
          <w:p>
            <w:pPr>
              <w:pStyle w:val="35"/>
            </w:pPr>
            <w:r>
              <w:t>200 mW (23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Tx antenna gain</w:t>
            </w:r>
          </w:p>
        </w:tc>
        <w:tc>
          <w:tcPr>
            <w:tcW w:w="2833" w:type="pct"/>
            <w:shd w:val="clear" w:color="auto" w:fill="auto"/>
          </w:tcPr>
          <w:p>
            <w:pPr>
              <w:pStyle w:val="35"/>
            </w:pPr>
            <w:r>
              <w:t>0 dBi per element</w:t>
            </w:r>
          </w:p>
        </w:tc>
      </w:tr>
    </w:tbl>
    <w:p/>
    <w:bookmarkEnd w:id="29"/>
    <w:p>
      <w:pPr>
        <w:pStyle w:val="5"/>
        <w:rPr>
          <w:rFonts w:cs="Arial"/>
          <w:b/>
        </w:rPr>
      </w:pPr>
      <w:bookmarkStart w:id="30" w:name="_Toc87889246"/>
      <w:bookmarkStart w:id="31" w:name="_Toc104502869"/>
      <w:bookmarkStart w:id="32" w:name="_Toc94170347"/>
      <w:bookmarkStart w:id="33" w:name="_Toc106127629"/>
      <w:bookmarkStart w:id="34" w:name="_Toc104210157"/>
      <w:bookmarkStart w:id="35" w:name="_Toc104122351"/>
      <w:r>
        <w:rPr>
          <w:rFonts w:cs="Arial"/>
        </w:rPr>
        <w:t>6.2.2.</w:t>
      </w:r>
      <w:r>
        <w:rPr>
          <w:rFonts w:hint="eastAsia" w:cs="Arial"/>
          <w:lang w:val="en-US" w:eastAsia="zh-CN"/>
        </w:rPr>
        <w:t>5</w:t>
      </w:r>
      <w:r>
        <w:rPr>
          <w:rFonts w:cs="Arial"/>
        </w:rPr>
        <w:tab/>
      </w:r>
      <w:r>
        <w:rPr>
          <w:rFonts w:cs="Arial"/>
        </w:rPr>
        <w:t>TN parameters</w:t>
      </w:r>
      <w:bookmarkEnd w:id="30"/>
      <w:bookmarkEnd w:id="31"/>
      <w:bookmarkEnd w:id="32"/>
      <w:bookmarkEnd w:id="33"/>
      <w:bookmarkEnd w:id="34"/>
      <w:bookmarkEnd w:id="35"/>
    </w:p>
    <w:p>
      <w:pPr>
        <w:snapToGrid w:val="0"/>
        <w:rPr>
          <w:rFonts w:eastAsia="宋体"/>
        </w:rPr>
      </w:pPr>
      <w:r>
        <w:rPr>
          <w:rFonts w:eastAsia="宋体"/>
        </w:rPr>
        <w:t xml:space="preserve">TN parameters for co-existence study are given </w:t>
      </w:r>
      <w:r>
        <w:rPr>
          <w:rFonts w:hint="eastAsia" w:eastAsia="宋体"/>
        </w:rPr>
        <w:t>in</w:t>
      </w:r>
      <w:r>
        <w:rPr>
          <w:rFonts w:eastAsia="宋体"/>
        </w:rPr>
        <w:t xml:space="preserve"> Table 6.2.2.4-1, 6.2.2.4-2 and 6.2.2.4-3.</w:t>
      </w:r>
    </w:p>
    <w:p>
      <w:pPr>
        <w:pStyle w:val="46"/>
      </w:pPr>
      <w:r>
        <w:t>Table 6.2.2.4-1: Simulation assumptions of TN respectively based on NB-IoT and NR</w:t>
      </w:r>
    </w:p>
    <w:tbl>
      <w:tblPr>
        <w:tblStyle w:val="9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2"/>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2" w:type="pct"/>
          </w:tcPr>
          <w:p>
            <w:pPr>
              <w:pStyle w:val="33"/>
              <w:overflowPunct w:val="0"/>
              <w:autoSpaceDE w:val="0"/>
              <w:autoSpaceDN w:val="0"/>
              <w:adjustRightInd w:val="0"/>
              <w:spacing w:after="180"/>
              <w:textAlignment w:val="baseline"/>
              <w:rPr>
                <w:rFonts w:eastAsia="Yu Mincho"/>
              </w:rPr>
            </w:pPr>
          </w:p>
        </w:tc>
        <w:tc>
          <w:tcPr>
            <w:tcW w:w="1729" w:type="pct"/>
            <w:shd w:val="clear" w:color="auto" w:fill="BEBEBE" w:themeFill="background1" w:themeFillShade="BF"/>
          </w:tcPr>
          <w:p>
            <w:pPr>
              <w:pStyle w:val="33"/>
              <w:overflowPunct w:val="0"/>
              <w:autoSpaceDE w:val="0"/>
              <w:autoSpaceDN w:val="0"/>
              <w:adjustRightInd w:val="0"/>
              <w:spacing w:after="180"/>
              <w:textAlignment w:val="baseline"/>
              <w:rPr>
                <w:rFonts w:eastAsia="Yu Mincho"/>
              </w:rPr>
            </w:pPr>
            <w:r>
              <w:rPr>
                <w:rFonts w:hint="eastAsia" w:eastAsia="Yu Mincho"/>
              </w:rPr>
              <w:t>NB-</w:t>
            </w:r>
            <w:r>
              <w:rPr>
                <w:rFonts w:eastAsia="Yu Mincho"/>
              </w:rPr>
              <w:t>IoT</w:t>
            </w:r>
          </w:p>
          <w:p>
            <w:pPr>
              <w:pStyle w:val="33"/>
              <w:overflowPunct w:val="0"/>
              <w:autoSpaceDE w:val="0"/>
              <w:autoSpaceDN w:val="0"/>
              <w:adjustRightInd w:val="0"/>
              <w:spacing w:after="180"/>
              <w:textAlignment w:val="baseline"/>
              <w:rPr>
                <w:rFonts w:eastAsia="Yu Mincho"/>
              </w:rPr>
            </w:pPr>
            <w:r>
              <w:rPr>
                <w:rFonts w:eastAsia="Yu Mincho"/>
              </w:rPr>
              <w:t>standalone</w:t>
            </w:r>
          </w:p>
        </w:tc>
        <w:tc>
          <w:tcPr>
            <w:tcW w:w="1729" w:type="pct"/>
          </w:tcPr>
          <w:p>
            <w:pPr>
              <w:pStyle w:val="33"/>
              <w:overflowPunct w:val="0"/>
              <w:autoSpaceDE w:val="0"/>
              <w:autoSpaceDN w:val="0"/>
              <w:adjustRightInd w:val="0"/>
              <w:spacing w:after="180"/>
              <w:textAlignment w:val="baseline"/>
              <w:rPr>
                <w:rFonts w:eastAsia="Yu Mincho"/>
              </w:rPr>
            </w:pPr>
            <w:r>
              <w:rPr>
                <w:rFonts w:hint="eastAsia" w:eastAsia="Yu Mincho"/>
              </w:rPr>
              <w:t>N</w:t>
            </w:r>
            <w:r>
              <w:rPr>
                <w:rFonts w:eastAsia="Yu Mincho"/>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Carrier frequency in GHz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 2</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Size of each nominal channel BW in MHz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0.2</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Transmission bandwidth in MHz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0.18</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Environment</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Urban macro</w:t>
            </w:r>
          </w:p>
          <w:p>
            <w:pPr>
              <w:pStyle w:val="34"/>
              <w:overflowPunct w:val="0"/>
              <w:autoSpaceDE w:val="0"/>
              <w:autoSpaceDN w:val="0"/>
              <w:adjustRightInd w:val="0"/>
              <w:spacing w:after="180"/>
              <w:textAlignment w:val="baseline"/>
              <w:rPr>
                <w:rFonts w:eastAsia="Yu Mincho"/>
              </w:rPr>
            </w:pPr>
            <w:r>
              <w:rPr>
                <w:rFonts w:hint="eastAsia" w:eastAsia="Yu Mincho"/>
              </w:rPr>
              <w:t>Rural</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Network layout</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19-sites [57 sectors] with wrap-around</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Inter-site distance in meter</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500 for 2GHz band</w:t>
            </w:r>
            <w:r>
              <w:rPr>
                <w:rFonts w:hint="eastAsia" w:eastAsia="Yu Mincho"/>
              </w:rPr>
              <w:t xml:space="preserve"> for UMA</w:t>
            </w:r>
          </w:p>
          <w:p>
            <w:pPr>
              <w:pStyle w:val="34"/>
              <w:overflowPunct w:val="0"/>
              <w:autoSpaceDE w:val="0"/>
              <w:autoSpaceDN w:val="0"/>
              <w:adjustRightInd w:val="0"/>
              <w:spacing w:after="180"/>
              <w:textAlignment w:val="baseline"/>
              <w:rPr>
                <w:rFonts w:eastAsia="Yu Mincho"/>
              </w:rPr>
            </w:pPr>
            <w:r>
              <w:rPr>
                <w:rFonts w:eastAsia="Yu Mincho"/>
              </w:rPr>
              <w:t>TBD For Rural</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System loading and activity</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Full buffer 100%</w:t>
            </w: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See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Network location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TBD</w:t>
            </w:r>
          </w:p>
        </w:tc>
        <w:tc>
          <w:tcPr>
            <w:tcW w:w="1729" w:type="pct"/>
          </w:tcPr>
          <w:p>
            <w:pPr>
              <w:pStyle w:val="34"/>
              <w:overflowPunct w:val="0"/>
              <w:autoSpaceDE w:val="0"/>
              <w:autoSpaceDN w:val="0"/>
              <w:adjustRightInd w:val="0"/>
              <w:spacing w:after="180"/>
              <w:textAlignment w:val="baseline"/>
              <w:rPr>
                <w:rFonts w:eastAsia="宋体"/>
                <w:highlight w:val="cyan"/>
              </w:rPr>
            </w:pPr>
            <w:r>
              <w:rPr>
                <w:rFonts w:hint="eastAsia" w:eastAsia="Yu Mincho"/>
                <w:color w:val="000000"/>
                <w:szCs w:val="18"/>
              </w:rPr>
              <w:t>See</w:t>
            </w:r>
            <w:r>
              <w:rPr>
                <w:rFonts w:eastAsia="Yu Mincho"/>
                <w:color w:val="000000"/>
                <w:szCs w:val="18"/>
              </w:rPr>
              <w:t xml:space="preserv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DL subcarrier spacing</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15kHz</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See </w:t>
            </w:r>
            <w:r>
              <w:rPr>
                <w:rFonts w:hint="eastAsia" w:eastAsia="Yu Mincho"/>
              </w:rPr>
              <w:t>RP-152284</w:t>
            </w:r>
            <w:r>
              <w:rPr>
                <w:rFonts w:eastAsia="Yu Mincho"/>
              </w:rPr>
              <w:t>[7]</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DL power control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No</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UL power control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TR 36.942[8] section 5.1.1.6</w:t>
            </w:r>
            <w:r>
              <w:rPr>
                <w:rFonts w:hint="eastAsia" w:eastAsia="Yu Mincho"/>
              </w:rPr>
              <w:t xml:space="preserve"> (set 1)</w:t>
            </w:r>
            <w:r>
              <w:rPr>
                <w:rFonts w:eastAsia="Yu Mincho"/>
              </w:rPr>
              <w:t xml:space="preserve"> by bandwidth scale</w:t>
            </w:r>
            <w:r>
              <w:rPr>
                <w:rFonts w:hint="eastAsia" w:eastAsia="Yu Mincho"/>
              </w:rPr>
              <w:t>, target SNR at BS is 15 dB</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TR 36.942[8]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Frequency reuse</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Number of scheduled UE per cell (DL)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Number of scheduled UE per cell (UL)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hint="eastAsia" w:eastAsia="Yu Mincho"/>
              </w:rPr>
              <w:t xml:space="preserve">3 for multi-tone (60kHz per UE), </w:t>
            </w:r>
          </w:p>
          <w:p>
            <w:pPr>
              <w:pStyle w:val="34"/>
              <w:overflowPunct w:val="0"/>
              <w:autoSpaceDE w:val="0"/>
              <w:autoSpaceDN w:val="0"/>
              <w:adjustRightInd w:val="0"/>
              <w:spacing w:after="180"/>
              <w:textAlignment w:val="baseline"/>
              <w:rPr>
                <w:rFonts w:eastAsia="Yu Mincho"/>
              </w:rPr>
            </w:pPr>
            <w:r>
              <w:rPr>
                <w:rFonts w:hint="eastAsia" w:eastAsia="Yu Mincho"/>
              </w:rPr>
              <w:t xml:space="preserve">12 for 15kHz single-tone, </w:t>
            </w:r>
          </w:p>
          <w:p>
            <w:pPr>
              <w:pStyle w:val="34"/>
              <w:overflowPunct w:val="0"/>
              <w:autoSpaceDE w:val="0"/>
              <w:autoSpaceDN w:val="0"/>
              <w:adjustRightInd w:val="0"/>
              <w:spacing w:after="180"/>
              <w:textAlignment w:val="baseline"/>
              <w:rPr>
                <w:rFonts w:eastAsia="Yu Mincho"/>
              </w:rPr>
            </w:pPr>
            <w:r>
              <w:rPr>
                <w:rFonts w:hint="eastAsia" w:eastAsia="Yu Mincho"/>
              </w:rPr>
              <w:t>48 for 3.75kHz single-tone</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antenna height in meter</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1.5</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TX power in dBm</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-40 to 23</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-40 to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antenna gain in dBi</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Building penetration loss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TR 45.820[9] Annex D.1 </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In pathloss model,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Cell selection margin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3</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BS-MS min distance in meters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35</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hint="eastAsia" w:eastAsia="Yu Mincho"/>
              </w:rPr>
              <w:t>3</w:t>
            </w:r>
            <w:r>
              <w:rPr>
                <w:rFonts w:eastAsia="Yu Minch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BS noise figure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5</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lang w:val="fr-FR"/>
              </w:rPr>
            </w:pPr>
            <w:r>
              <w:rPr>
                <w:rFonts w:eastAsia="Yu Mincho"/>
                <w:lang w:val="fr-FR"/>
              </w:rPr>
              <w:t>UE noise figure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9</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pct"/>
          </w:tcPr>
          <w:p>
            <w:pPr>
              <w:pStyle w:val="35"/>
              <w:overflowPunct w:val="0"/>
              <w:autoSpaceDE w:val="0"/>
              <w:autoSpaceDN w:val="0"/>
              <w:adjustRightInd w:val="0"/>
              <w:spacing w:after="180"/>
              <w:textAlignment w:val="baseline"/>
              <w:rPr>
                <w:rFonts w:eastAsia="Yu Mincho"/>
              </w:rPr>
            </w:pPr>
            <w:r>
              <w:rPr>
                <w:rFonts w:eastAsia="Yu Mincho"/>
              </w:rPr>
              <w:t>BS-UE path-loss model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TR 36.942</w:t>
            </w:r>
            <w:r>
              <w:rPr>
                <w:rFonts w:eastAsia="Yu Mincho"/>
                <w:color w:val="000000"/>
                <w:szCs w:val="18"/>
              </w:rPr>
              <w:t>[8]</w:t>
            </w:r>
            <w:r>
              <w:rPr>
                <w:rFonts w:eastAsia="Yu Mincho"/>
              </w:rPr>
              <w:t xml:space="preserve"> macro urban</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Standard deviation of BS-UE log-normal shadow fading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10</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Deployment scenario related, referring to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Shadowing correlation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Inter-cell 0.5 </w:t>
            </w:r>
          </w:p>
          <w:p>
            <w:pPr>
              <w:pStyle w:val="34"/>
              <w:overflowPunct w:val="0"/>
              <w:autoSpaceDE w:val="0"/>
              <w:autoSpaceDN w:val="0"/>
              <w:adjustRightInd w:val="0"/>
              <w:spacing w:after="180"/>
              <w:textAlignment w:val="baseline"/>
              <w:rPr>
                <w:rFonts w:eastAsia="Yu Mincho"/>
              </w:rPr>
            </w:pPr>
            <w:r>
              <w:rPr>
                <w:rFonts w:eastAsia="Yu Mincho"/>
              </w:rPr>
              <w:t>Intra-cell 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rPr>
              <w:t xml:space="preserve">Inter-cell 0.5 </w:t>
            </w:r>
          </w:p>
          <w:p>
            <w:pPr>
              <w:pStyle w:val="34"/>
              <w:overflowPunct w:val="0"/>
              <w:autoSpaceDE w:val="0"/>
              <w:autoSpaceDN w:val="0"/>
              <w:adjustRightInd w:val="0"/>
              <w:spacing w:after="180"/>
              <w:textAlignment w:val="baseline"/>
              <w:rPr>
                <w:rFonts w:eastAsia="Yu Mincho"/>
              </w:rPr>
            </w:pPr>
            <w:r>
              <w:rPr>
                <w:rFonts w:eastAsia="Yu Mincho"/>
              </w:rPr>
              <w:t>Intra-cell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Link-level performance model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See Section 6.2.8</w:t>
            </w:r>
          </w:p>
          <w:p>
            <w:pPr>
              <w:pStyle w:val="34"/>
              <w:overflowPunct w:val="0"/>
              <w:autoSpaceDE w:val="0"/>
              <w:autoSpaceDN w:val="0"/>
              <w:adjustRightInd w:val="0"/>
              <w:spacing w:after="180"/>
              <w:textAlignment w:val="baseline"/>
              <w:rPr>
                <w:rFonts w:eastAsia="Yu Mincho"/>
              </w:rPr>
            </w:pPr>
            <w:r>
              <w:rPr>
                <w:rFonts w:eastAsia="Yu Mincho"/>
                <w:color w:val="000000"/>
                <w:szCs w:val="18"/>
              </w:rPr>
              <w:t>Throughtput-SINR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hint="eastAsia" w:eastAsia="Yu Mincho"/>
              </w:rPr>
              <w:t>U</w:t>
            </w:r>
            <w:r>
              <w:rPr>
                <w:rFonts w:eastAsia="Yu Mincho"/>
              </w:rPr>
              <w:t>E distribution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Evaluation metrics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SINR vs ACS (as victim)</w:t>
            </w: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 xml:space="preserve">See Section 6.2.8 </w:t>
            </w:r>
          </w:p>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Throughtput or SNR loss criteria</w:t>
            </w:r>
          </w:p>
        </w:tc>
      </w:tr>
    </w:tbl>
    <w:p>
      <w:pPr>
        <w:rPr>
          <w:rFonts w:eastAsia="宋体"/>
        </w:rPr>
      </w:pPr>
    </w:p>
    <w:p>
      <w:pPr>
        <w:pStyle w:val="46"/>
        <w:rPr>
          <w:sz w:val="15"/>
        </w:rPr>
      </w:pPr>
      <w:r>
        <w:t>Table 6.2.2.4-2: Deployment-related parameters of TN (2 GHz)</w:t>
      </w:r>
    </w:p>
    <w:tbl>
      <w:tblPr>
        <w:tblStyle w:val="9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2271"/>
        <w:gridCol w:w="2200"/>
        <w:gridCol w:w="3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18" w:type="pct"/>
            <w:vAlign w:val="center"/>
          </w:tcPr>
          <w:p>
            <w:pPr>
              <w:pStyle w:val="33"/>
              <w:overflowPunct w:val="0"/>
              <w:autoSpaceDE w:val="0"/>
              <w:autoSpaceDN w:val="0"/>
              <w:adjustRightInd w:val="0"/>
              <w:spacing w:after="180"/>
              <w:textAlignment w:val="baseline"/>
              <w:rPr>
                <w:rFonts w:eastAsia="Yu Mincho"/>
              </w:rPr>
            </w:pPr>
          </w:p>
        </w:tc>
        <w:tc>
          <w:tcPr>
            <w:tcW w:w="1140" w:type="pct"/>
            <w:vAlign w:val="center"/>
          </w:tcPr>
          <w:p>
            <w:pPr>
              <w:pStyle w:val="33"/>
              <w:overflowPunct w:val="0"/>
              <w:autoSpaceDE w:val="0"/>
              <w:autoSpaceDN w:val="0"/>
              <w:adjustRightInd w:val="0"/>
              <w:spacing w:after="180"/>
              <w:textAlignment w:val="baseline"/>
              <w:rPr>
                <w:rFonts w:eastAsia="Yu Mincho"/>
              </w:rPr>
            </w:pPr>
            <w:r>
              <w:rPr>
                <w:rFonts w:eastAsia="Yu Mincho"/>
              </w:rPr>
              <w:t>Urban Macro</w:t>
            </w:r>
          </w:p>
        </w:tc>
        <w:tc>
          <w:tcPr>
            <w:tcW w:w="1104" w:type="pct"/>
            <w:vAlign w:val="center"/>
          </w:tcPr>
          <w:p>
            <w:pPr>
              <w:pStyle w:val="33"/>
              <w:overflowPunct w:val="0"/>
              <w:autoSpaceDE w:val="0"/>
              <w:autoSpaceDN w:val="0"/>
              <w:adjustRightInd w:val="0"/>
              <w:spacing w:after="180"/>
              <w:textAlignment w:val="baseline"/>
              <w:rPr>
                <w:rFonts w:eastAsia="Yu Mincho"/>
              </w:rPr>
            </w:pPr>
            <w:r>
              <w:rPr>
                <w:rFonts w:eastAsia="Yu Mincho"/>
              </w:rPr>
              <w:t>Rural Macro</w:t>
            </w:r>
          </w:p>
        </w:tc>
        <w:tc>
          <w:tcPr>
            <w:tcW w:w="1838" w:type="pct"/>
            <w:vAlign w:val="center"/>
          </w:tcPr>
          <w:p>
            <w:pPr>
              <w:pStyle w:val="33"/>
              <w:overflowPunct w:val="0"/>
              <w:autoSpaceDE w:val="0"/>
              <w:autoSpaceDN w:val="0"/>
              <w:adjustRightInd w:val="0"/>
              <w:spacing w:after="180"/>
              <w:textAlignment w:val="baseline"/>
              <w:rPr>
                <w:rFonts w:eastAsia="Yu Mincho"/>
              </w:rPr>
            </w:pPr>
            <w:r>
              <w:rPr>
                <w:rFonts w:hint="eastAsia" w:eastAsia="Yu Mincho"/>
              </w:rPr>
              <w:t>R</w:t>
            </w:r>
            <w:r>
              <w:rPr>
                <w:rFonts w:eastAsia="Yu Mincho"/>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I</w:t>
            </w:r>
            <w:r>
              <w:rPr>
                <w:rFonts w:eastAsia="Yu Mincho"/>
              </w:rPr>
              <w:t>SD in meters</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750</w:t>
            </w:r>
          </w:p>
        </w:tc>
        <w:tc>
          <w:tcPr>
            <w:tcW w:w="1104" w:type="pct"/>
            <w:vAlign w:val="center"/>
          </w:tcPr>
          <w:p>
            <w:pPr>
              <w:pStyle w:val="34"/>
              <w:overflowPunct w:val="0"/>
              <w:autoSpaceDE w:val="0"/>
              <w:autoSpaceDN w:val="0"/>
              <w:adjustRightInd w:val="0"/>
              <w:spacing w:after="180"/>
              <w:textAlignment w:val="baseline"/>
              <w:rPr>
                <w:rFonts w:eastAsia="Yu Mincho"/>
              </w:rPr>
            </w:pPr>
            <w:r>
              <w:rPr>
                <w:rFonts w:eastAsia="Yu Mincho"/>
              </w:rPr>
              <w:t>7500</w:t>
            </w:r>
          </w:p>
        </w:tc>
        <w:tc>
          <w:tcPr>
            <w:tcW w:w="1838" w:type="pct"/>
            <w:vMerge w:val="restart"/>
            <w:vAlign w:val="center"/>
          </w:tcPr>
          <w:p>
            <w:pPr>
              <w:pStyle w:val="35"/>
              <w:overflowPunct w:val="0"/>
              <w:autoSpaceDE w:val="0"/>
              <w:autoSpaceDN w:val="0"/>
              <w:adjustRightInd w:val="0"/>
              <w:spacing w:after="180"/>
              <w:textAlignment w:val="baseline"/>
              <w:rPr>
                <w:rFonts w:eastAsia="Yu Mincho"/>
              </w:rPr>
            </w:pPr>
            <w:r>
              <w:rPr>
                <w:rFonts w:hint="eastAsia" w:eastAsia="Yu Mincho"/>
              </w:rPr>
              <w:t>I</w:t>
            </w:r>
            <w:r>
              <w:rPr>
                <w:rFonts w:eastAsia="Yu Mincho"/>
              </w:rPr>
              <w:t>TU-R Report M.2292[11]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BS Antenna height in meters</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25</w:t>
            </w:r>
          </w:p>
        </w:tc>
        <w:tc>
          <w:tcPr>
            <w:tcW w:w="1104"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3</w:t>
            </w:r>
            <w:r>
              <w:rPr>
                <w:rFonts w:eastAsia="Yu Mincho"/>
              </w:rPr>
              <w:t>0</w:t>
            </w:r>
          </w:p>
        </w:tc>
        <w:tc>
          <w:tcPr>
            <w:tcW w:w="1838" w:type="pct"/>
            <w:vMerge w:val="continue"/>
            <w:vAlign w:val="center"/>
          </w:tcPr>
          <w:p>
            <w:pPr>
              <w:pStyle w:val="35"/>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UE Outdoor/indoor</w:t>
            </w:r>
          </w:p>
        </w:tc>
        <w:tc>
          <w:tcPr>
            <w:tcW w:w="2244" w:type="pct"/>
            <w:gridSpan w:val="2"/>
            <w:vAlign w:val="center"/>
          </w:tcPr>
          <w:p>
            <w:pPr>
              <w:pStyle w:val="34"/>
              <w:overflowPunct w:val="0"/>
              <w:autoSpaceDE w:val="0"/>
              <w:autoSpaceDN w:val="0"/>
              <w:adjustRightInd w:val="0"/>
              <w:spacing w:after="180"/>
              <w:textAlignment w:val="baseline"/>
              <w:rPr>
                <w:rFonts w:eastAsia="Yu Mincho"/>
              </w:rPr>
            </w:pPr>
            <w:r>
              <w:rPr>
                <w:rFonts w:eastAsia="Yu Mincho"/>
              </w:rPr>
              <w:t>100% Outdoor</w:t>
            </w:r>
          </w:p>
        </w:tc>
        <w:tc>
          <w:tcPr>
            <w:tcW w:w="1838" w:type="pct"/>
            <w:vAlign w:val="center"/>
          </w:tcPr>
          <w:p>
            <w:pPr>
              <w:pStyle w:val="35"/>
              <w:overflowPunct w:val="0"/>
              <w:autoSpaceDE w:val="0"/>
              <w:autoSpaceDN w:val="0"/>
              <w:adjustRightInd w:val="0"/>
              <w:spacing w:after="180"/>
              <w:textAlignment w:val="baseline"/>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UE height in meter</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1.5</w:t>
            </w:r>
          </w:p>
        </w:tc>
        <w:tc>
          <w:tcPr>
            <w:tcW w:w="1104" w:type="pct"/>
            <w:vAlign w:val="center"/>
          </w:tcPr>
          <w:p>
            <w:pPr>
              <w:pStyle w:val="34"/>
              <w:overflowPunct w:val="0"/>
              <w:autoSpaceDE w:val="0"/>
              <w:autoSpaceDN w:val="0"/>
              <w:adjustRightInd w:val="0"/>
              <w:spacing w:after="180"/>
              <w:textAlignment w:val="baseline"/>
              <w:rPr>
                <w:rFonts w:eastAsia="Yu Mincho"/>
              </w:rPr>
            </w:pPr>
            <w:r>
              <w:rPr>
                <w:rFonts w:eastAsia="Yu Mincho"/>
              </w:rPr>
              <w:t>1.5</w:t>
            </w:r>
          </w:p>
        </w:tc>
        <w:tc>
          <w:tcPr>
            <w:tcW w:w="1838" w:type="pct"/>
            <w:vAlign w:val="center"/>
          </w:tcPr>
          <w:p>
            <w:pPr>
              <w:pStyle w:val="35"/>
              <w:overflowPunct w:val="0"/>
              <w:autoSpaceDE w:val="0"/>
              <w:autoSpaceDN w:val="0"/>
              <w:adjustRightInd w:val="0"/>
              <w:spacing w:after="180"/>
              <w:textAlignment w:val="baseline"/>
              <w:rPr>
                <w:rFonts w:eastAsia="Yu Mincho"/>
              </w:rPr>
            </w:pPr>
            <w:r>
              <w:rPr>
                <w:rFonts w:eastAsia="Yu Mincho"/>
              </w:rPr>
              <w:t xml:space="preserve">RP-200559 [12] </w:t>
            </w:r>
            <w:r>
              <w:rPr>
                <w:rFonts w:hint="eastAsia" w:eastAsia="Yu Mincho"/>
              </w:rPr>
              <w:t>3</w:t>
            </w:r>
            <w:r>
              <w:rPr>
                <w:rFonts w:eastAsia="Yu Mincho"/>
              </w:rPr>
              <w:t xml:space="preserve">GPP LS to ITU-R WP5D </w:t>
            </w:r>
          </w:p>
          <w:p>
            <w:pPr>
              <w:pStyle w:val="35"/>
              <w:overflowPunct w:val="0"/>
              <w:autoSpaceDE w:val="0"/>
              <w:autoSpaceDN w:val="0"/>
              <w:adjustRightInd w:val="0"/>
              <w:spacing w:after="180"/>
              <w:textAlignment w:val="baseline"/>
              <w:rPr>
                <w:rFonts w:eastAsia="Yu Mincho"/>
              </w:rPr>
            </w:pPr>
            <w:r>
              <w:rPr>
                <w:rFonts w:eastAsia="Yu Mincho"/>
              </w:rPr>
              <w:t>and</w:t>
            </w:r>
          </w:p>
          <w:p>
            <w:pPr>
              <w:pStyle w:val="35"/>
              <w:overflowPunct w:val="0"/>
              <w:autoSpaceDE w:val="0"/>
              <w:autoSpaceDN w:val="0"/>
              <w:adjustRightInd w:val="0"/>
              <w:spacing w:after="180"/>
              <w:textAlignment w:val="baseline"/>
              <w:rPr>
                <w:rFonts w:eastAsia="Yu Mincho"/>
              </w:rPr>
            </w:pPr>
            <w:r>
              <w:rPr>
                <w:rFonts w:eastAsia="Yu Mincho"/>
              </w:rPr>
              <w:t>ITU-R WP5D</w:t>
            </w:r>
          </w:p>
          <w:p>
            <w:pPr>
              <w:pStyle w:val="35"/>
              <w:overflowPunct w:val="0"/>
              <w:autoSpaceDE w:val="0"/>
              <w:autoSpaceDN w:val="0"/>
              <w:adjustRightInd w:val="0"/>
              <w:spacing w:after="180"/>
              <w:textAlignment w:val="baseline"/>
              <w:rPr>
                <w:rFonts w:eastAsia="Yu Mincho"/>
              </w:rPr>
            </w:pPr>
            <w:r>
              <w:rPr>
                <w:rFonts w:eastAsia="Yu Mincho"/>
              </w:rPr>
              <w:t>[IMT_</w:t>
            </w:r>
            <w:r>
              <w:rPr>
                <w:rFonts w:hint="eastAsia" w:eastAsia="Yu Mincho"/>
              </w:rPr>
              <w:t>Par</w:t>
            </w:r>
            <w:r>
              <w:rPr>
                <w:rFonts w:eastAsia="Yu Mincho"/>
              </w:rPr>
              <w:t>ameters] [13]</w:t>
            </w:r>
          </w:p>
        </w:tc>
      </w:tr>
    </w:tbl>
    <w:p>
      <w:pPr>
        <w:rPr>
          <w:rFonts w:eastAsia="宋体"/>
        </w:rPr>
      </w:pPr>
    </w:p>
    <w:p>
      <w:pPr>
        <w:pStyle w:val="46"/>
      </w:pPr>
      <w:r>
        <w:rPr>
          <w:rFonts w:eastAsia="Calibri"/>
        </w:rPr>
        <w:t>T</w:t>
      </w:r>
      <w:r>
        <w:rPr>
          <w:rFonts w:hint="eastAsia" w:eastAsia="Calibri"/>
        </w:rPr>
        <w:t xml:space="preserve">able </w:t>
      </w:r>
      <w:r>
        <w:rPr>
          <w:rFonts w:eastAsia="宋体"/>
        </w:rPr>
        <w:t>6.2.2.4</w:t>
      </w:r>
      <w:r>
        <w:rPr>
          <w:rFonts w:hint="eastAsia" w:eastAsia="Calibri"/>
        </w:rPr>
        <w:t>-3</w:t>
      </w:r>
      <w:r>
        <w:t>:</w:t>
      </w:r>
      <w:r>
        <w:rPr>
          <w:rFonts w:hint="eastAsia" w:eastAsia="Calibri"/>
        </w:rPr>
        <w:t xml:space="preserve"> </w:t>
      </w:r>
      <w:r>
        <w:rPr>
          <w:rFonts w:hint="eastAsia"/>
        </w:rPr>
        <w:t>ACLR/ACS for TN (2GHz)</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pStyle w:val="33"/>
            </w:pPr>
          </w:p>
        </w:tc>
        <w:tc>
          <w:tcPr>
            <w:tcW w:w="2610" w:type="dxa"/>
            <w:shd w:val="clear" w:color="auto" w:fill="auto"/>
          </w:tcPr>
          <w:p>
            <w:pPr>
              <w:pStyle w:val="33"/>
            </w:pPr>
            <w:r>
              <w:rPr>
                <w:rFonts w:hint="eastAsia"/>
              </w:rPr>
              <w:t>NR</w:t>
            </w:r>
          </w:p>
        </w:tc>
        <w:tc>
          <w:tcPr>
            <w:tcW w:w="2610" w:type="dxa"/>
          </w:tcPr>
          <w:p>
            <w:pPr>
              <w:pStyle w:val="33"/>
            </w:pPr>
            <w:r>
              <w:rPr>
                <w:rFonts w:hint="eastAsia"/>
              </w:rPr>
              <w:t>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4"/>
            </w:pPr>
            <w:r>
              <w:t>BS</w:t>
            </w:r>
          </w:p>
        </w:tc>
        <w:tc>
          <w:tcPr>
            <w:tcW w:w="1350" w:type="dxa"/>
            <w:shd w:val="clear" w:color="auto" w:fill="auto"/>
            <w:vAlign w:val="center"/>
          </w:tcPr>
          <w:p>
            <w:pPr>
              <w:pStyle w:val="34"/>
            </w:pPr>
            <w:r>
              <w:t>ACLR</w:t>
            </w:r>
          </w:p>
        </w:tc>
        <w:tc>
          <w:tcPr>
            <w:tcW w:w="2610" w:type="dxa"/>
            <w:shd w:val="clear" w:color="auto" w:fill="auto"/>
          </w:tcPr>
          <w:p>
            <w:pPr>
              <w:pStyle w:val="34"/>
            </w:pPr>
            <w:r>
              <w:t>45 dB</w:t>
            </w:r>
          </w:p>
        </w:tc>
        <w:tc>
          <w:tcPr>
            <w:tcW w:w="2610" w:type="dxa"/>
          </w:tcPr>
          <w:p>
            <w:pPr>
              <w:pStyle w:val="34"/>
            </w:pPr>
            <w:r>
              <w:tab/>
            </w:r>
            <w:r>
              <w:rPr>
                <w:rFonts w:hint="eastAsia"/>
              </w:rPr>
              <w:t>40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4"/>
            </w:pPr>
          </w:p>
        </w:tc>
        <w:tc>
          <w:tcPr>
            <w:tcW w:w="1350" w:type="dxa"/>
            <w:shd w:val="clear" w:color="auto" w:fill="auto"/>
            <w:vAlign w:val="center"/>
          </w:tcPr>
          <w:p>
            <w:pPr>
              <w:pStyle w:val="34"/>
            </w:pPr>
            <w:r>
              <w:t>ACS</w:t>
            </w:r>
          </w:p>
        </w:tc>
        <w:tc>
          <w:tcPr>
            <w:tcW w:w="2610" w:type="dxa"/>
            <w:shd w:val="clear" w:color="auto" w:fill="auto"/>
          </w:tcPr>
          <w:p>
            <w:pPr>
              <w:pStyle w:val="34"/>
            </w:pPr>
            <w:r>
              <w:t>46 dB</w:t>
            </w:r>
          </w:p>
        </w:tc>
        <w:tc>
          <w:tcPr>
            <w:tcW w:w="2610" w:type="dxa"/>
          </w:tcPr>
          <w:p>
            <w:pPr>
              <w:pStyle w:val="34"/>
            </w:pPr>
            <w:r>
              <w:rPr>
                <w:rFonts w:hint="eastAsia"/>
              </w:rPr>
              <w:t>4</w:t>
            </w:r>
            <w:r>
              <w:t>6</w:t>
            </w:r>
            <w:r>
              <w:rPr>
                <w:rFonts w:hint="eastAsia"/>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4"/>
            </w:pPr>
            <w:r>
              <w:t>UE</w:t>
            </w:r>
          </w:p>
        </w:tc>
        <w:tc>
          <w:tcPr>
            <w:tcW w:w="1350" w:type="dxa"/>
            <w:shd w:val="clear" w:color="auto" w:fill="auto"/>
            <w:vAlign w:val="center"/>
          </w:tcPr>
          <w:p>
            <w:pPr>
              <w:pStyle w:val="34"/>
            </w:pPr>
            <w:r>
              <w:t>ACLR</w:t>
            </w:r>
          </w:p>
        </w:tc>
        <w:tc>
          <w:tcPr>
            <w:tcW w:w="2610" w:type="dxa"/>
            <w:shd w:val="clear" w:color="auto" w:fill="auto"/>
          </w:tcPr>
          <w:p>
            <w:pPr>
              <w:pStyle w:val="34"/>
            </w:pPr>
            <w:r>
              <w:t>30dB (ACLR1)</w:t>
            </w:r>
          </w:p>
          <w:p>
            <w:pPr>
              <w:pStyle w:val="34"/>
            </w:pPr>
            <w:r>
              <w:t>43dB (ACLR2)</w:t>
            </w:r>
          </w:p>
        </w:tc>
        <w:tc>
          <w:tcPr>
            <w:tcW w:w="2610" w:type="dxa"/>
          </w:tcPr>
          <w:p>
            <w:pPr>
              <w:pStyle w:val="34"/>
            </w:pPr>
            <w:r>
              <w:rPr>
                <w:rFonts w:hint="eastAsia"/>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4"/>
            </w:pPr>
          </w:p>
        </w:tc>
        <w:tc>
          <w:tcPr>
            <w:tcW w:w="1350" w:type="dxa"/>
            <w:shd w:val="clear" w:color="auto" w:fill="auto"/>
            <w:vAlign w:val="center"/>
          </w:tcPr>
          <w:p>
            <w:pPr>
              <w:pStyle w:val="34"/>
            </w:pPr>
            <w:r>
              <w:t>ACS</w:t>
            </w:r>
          </w:p>
        </w:tc>
        <w:tc>
          <w:tcPr>
            <w:tcW w:w="2610" w:type="dxa"/>
            <w:shd w:val="clear" w:color="auto" w:fill="auto"/>
          </w:tcPr>
          <w:p>
            <w:pPr>
              <w:pStyle w:val="34"/>
            </w:pPr>
            <w:r>
              <w:t>33</w:t>
            </w:r>
          </w:p>
        </w:tc>
        <w:tc>
          <w:tcPr>
            <w:tcW w:w="2610" w:type="dxa"/>
          </w:tcPr>
          <w:p>
            <w:pPr>
              <w:pStyle w:val="34"/>
              <w:rPr>
                <w:rFonts w:hint="default" w:eastAsia="宋体"/>
                <w:lang w:val="en-US" w:eastAsia="zh-CN"/>
              </w:rPr>
            </w:pPr>
            <w:r>
              <w:rPr>
                <w:rFonts w:hint="default"/>
                <w:lang w:val="en-US"/>
              </w:rPr>
              <w:t>28</w:t>
            </w:r>
          </w:p>
        </w:tc>
      </w:tr>
    </w:tbl>
    <w:p>
      <w:pPr>
        <w:rPr>
          <w:lang w:eastAsia="zh-CN"/>
        </w:rPr>
      </w:pPr>
      <w:bookmarkStart w:id="36" w:name="_Toc87889247"/>
    </w:p>
    <w:p>
      <w:pPr>
        <w:pStyle w:val="4"/>
        <w:ind w:left="0" w:firstLine="0"/>
        <w:rPr>
          <w:lang w:eastAsia="zh-CN"/>
        </w:rPr>
      </w:pPr>
      <w:bookmarkStart w:id="37" w:name="_Toc106127630"/>
      <w:bookmarkStart w:id="38" w:name="_Toc104122352"/>
      <w:bookmarkStart w:id="39" w:name="_Toc104502870"/>
      <w:bookmarkStart w:id="40" w:name="_Toc94170348"/>
      <w:bookmarkStart w:id="41" w:name="_Toc104210158"/>
      <w:r>
        <w:rPr>
          <w:lang w:eastAsia="zh-CN"/>
        </w:rPr>
        <w:t>6.2.3</w:t>
      </w:r>
      <w:r>
        <w:rPr>
          <w:rFonts w:cs="Arial"/>
          <w:lang w:eastAsia="zh-CN"/>
        </w:rPr>
        <w:tab/>
      </w:r>
      <w:r>
        <w:rPr>
          <w:rFonts w:hint="eastAsia" w:cs="Arial"/>
          <w:lang w:eastAsia="zh-CN"/>
        </w:rPr>
        <w:t>Antenna</w:t>
      </w:r>
      <w:r>
        <w:rPr>
          <w:rFonts w:cs="Arial"/>
          <w:lang w:eastAsia="zh-CN"/>
        </w:rPr>
        <w:t xml:space="preserve"> and beamforming pattern modelling</w:t>
      </w:r>
      <w:bookmarkEnd w:id="36"/>
      <w:bookmarkEnd w:id="37"/>
      <w:bookmarkEnd w:id="38"/>
      <w:bookmarkEnd w:id="39"/>
      <w:bookmarkEnd w:id="40"/>
      <w:bookmarkEnd w:id="41"/>
    </w:p>
    <w:p>
      <w:pPr>
        <w:pStyle w:val="5"/>
        <w:rPr>
          <w:rFonts w:cs="Arial"/>
          <w:b/>
        </w:rPr>
      </w:pPr>
      <w:bookmarkStart w:id="42" w:name="_Toc106127631"/>
      <w:bookmarkStart w:id="43" w:name="_Toc104210159"/>
      <w:bookmarkStart w:id="44" w:name="_Toc94170349"/>
      <w:bookmarkStart w:id="45" w:name="_Toc104122353"/>
      <w:bookmarkStart w:id="46" w:name="_Toc87889248"/>
      <w:bookmarkStart w:id="47" w:name="_Toc104502871"/>
      <w:r>
        <w:rPr>
          <w:rFonts w:cs="Arial"/>
        </w:rPr>
        <w:t>6.2.3.1</w:t>
      </w:r>
      <w:r>
        <w:rPr>
          <w:rFonts w:cs="Arial"/>
        </w:rPr>
        <w:tab/>
      </w:r>
      <w:r>
        <w:rPr>
          <w:rFonts w:cs="Arial"/>
        </w:rPr>
        <w:t>Satellite and UE Antenna and beam forming pattern modelling</w:t>
      </w:r>
      <w:bookmarkEnd w:id="42"/>
      <w:bookmarkEnd w:id="43"/>
      <w:bookmarkEnd w:id="44"/>
      <w:bookmarkEnd w:id="45"/>
      <w:bookmarkEnd w:id="46"/>
      <w:bookmarkEnd w:id="47"/>
    </w:p>
    <w:p>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rPr>
        <w:t>1</w:t>
      </w:r>
      <w:r>
        <w:t>1[5].</w:t>
      </w:r>
    </w:p>
    <w:p>
      <w:r>
        <w:t>The following normalized</w:t>
      </w:r>
      <w:r>
        <w:rPr>
          <w:rFonts w:hint="eastAsia"/>
        </w:rPr>
        <w:t xml:space="preserve"> </w:t>
      </w:r>
      <w:r>
        <w:t>antenna gain pattern, corresponding to a typical reflector antenna with a circular aperture, is considered.</w:t>
      </w:r>
    </w:p>
    <w:p>
      <w:pPr>
        <w:pStyle w:val="39"/>
        <w:jc w:val="center"/>
      </w:pPr>
      <w:r>
        <w:t xml:space="preserve">1                </w:t>
      </w:r>
      <m:oMath>
        <m:r>
          <m:rPr>
            <m:sty m:val="p"/>
          </m:rPr>
          <w:rPr>
            <w:rFonts w:ascii="Cambria Math" w:hAnsi="Cambria Math"/>
          </w:rPr>
          <m:t>for θ=0</m:t>
        </m:r>
      </m:oMath>
    </w:p>
    <w:p>
      <w:pPr>
        <w:pStyle w:val="39"/>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ctrlPr>
                          <w:rPr>
                            <w:rFonts w:ascii="Cambria Math" w:hAnsi="Cambria Math"/>
                          </w:rPr>
                        </m:ctrlPr>
                      </m:e>
                      <m:sub>
                        <m:r>
                          <w:rPr>
                            <w:rFonts w:ascii="Cambria Math" w:hAnsi="Cambria Math"/>
                          </w:rPr>
                          <m:t>1</m:t>
                        </m:r>
                        <m:ctrlPr>
                          <w:rPr>
                            <w:rFonts w:ascii="Cambria Math" w:hAnsi="Cambria Math"/>
                          </w:rPr>
                        </m:ctrlP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w:rPr>
                                <w:rFonts w:ascii="Cambria Math" w:hAnsi="Cambria Math"/>
                              </w:rPr>
                              <m:t>θ</m:t>
                            </m:r>
                            <m:ctrlPr>
                              <w:rPr>
                                <w:rFonts w:ascii="Cambria Math" w:hAnsi="Cambria Math"/>
                              </w:rPr>
                            </m:ctrlPr>
                          </m:e>
                        </m:func>
                        <m:ctrlPr>
                          <w:rPr>
                            <w:rFonts w:ascii="Cambria Math" w:hAnsi="Cambria Math"/>
                          </w:rPr>
                        </m:ctrlPr>
                      </m:e>
                    </m:d>
                    <m:ctrlPr>
                      <w:rPr>
                        <w:rFonts w:ascii="Cambria Math" w:hAnsi="Cambria Math"/>
                      </w:rPr>
                    </m:ctrlPr>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ctrlPr>
                          <w:rPr>
                            <w:rFonts w:ascii="Cambria Math" w:hAnsi="Cambria Math"/>
                            <w:i/>
                          </w:rPr>
                        </m:ctrlPr>
                      </m:e>
                    </m:func>
                    <m:ctrlPr>
                      <w:rPr>
                        <w:rFonts w:ascii="Cambria Math" w:hAnsi="Cambria Math"/>
                      </w:rPr>
                    </m:ctrlPr>
                  </m:den>
                </m:f>
                <m:ctrlPr>
                  <w:rPr>
                    <w:rFonts w:ascii="Cambria Math" w:hAnsi="Cambria Math"/>
                  </w:rPr>
                </m:ctrlPr>
              </m:e>
            </m:d>
            <m:ctrlPr>
              <w:rPr>
                <w:rFonts w:ascii="Cambria Math" w:hAnsi="Cambria Math"/>
                <w:i/>
              </w:rPr>
            </m:ctrlPr>
          </m:e>
          <m:sup>
            <m:r>
              <w:rPr>
                <w:rFonts w:ascii="Cambria Math" w:hAnsi="Cambria Math"/>
              </w:rPr>
              <m:t>2</m:t>
            </m:r>
            <m:ctrlPr>
              <w:rPr>
                <w:rFonts w:ascii="Cambria Math" w:hAnsi="Cambria Math"/>
                <w:i/>
              </w:rPr>
            </m:ctrlPr>
          </m:sup>
        </m:sSup>
      </m:oMath>
      <w:r>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ctrlPr>
              <w:rPr>
                <w:rFonts w:ascii="Cambria Math" w:hAnsi="Cambria Math"/>
              </w:rPr>
            </m:ctrlPr>
          </m:e>
        </m:d>
        <m:r>
          <w:rPr>
            <w:rFonts w:ascii="Cambria Math" w:hAnsi="Cambria Math"/>
          </w:rPr>
          <m:t>≤90°</m:t>
        </m:r>
      </m:oMath>
    </w:p>
    <w:p>
      <w:pPr>
        <w:rPr>
          <w:lang w:eastAsia="zh-CN"/>
        </w:rPr>
      </w:pPr>
      <w:r>
        <w:rPr>
          <w:rFonts w:hint="eastAsia"/>
          <w:lang w:eastAsia="zh-CN"/>
        </w:rPr>
        <w:t>w</w:t>
      </w:r>
      <w:r>
        <w:t>here</w:t>
      </w:r>
      <w:r>
        <w:rPr>
          <w:rFonts w:hint="eastAsia"/>
          <w:lang w:eastAsia="zh-CN"/>
        </w:rPr>
        <w:t>:</w:t>
      </w:r>
      <w:r>
        <w:rPr>
          <w:lang w:eastAsia="zh-CN"/>
        </w:rPr>
        <w:tab/>
      </w:r>
      <w:r>
        <w:rPr>
          <w:lang w:eastAsia="zh-CN"/>
        </w:rPr>
        <w:tab/>
      </w:r>
      <w:r>
        <w:rPr>
          <w:lang w:eastAsia="zh-CN"/>
        </w:rPr>
        <w:tab/>
      </w:r>
    </w:p>
    <w:p>
      <w:pPr>
        <w:pStyle w:val="32"/>
      </w:pPr>
      <w:r>
        <w:t>-</w:t>
      </w:r>
      <w:r>
        <w:tab/>
      </w:r>
      <w:r>
        <w:t>J</w:t>
      </w:r>
      <w:r>
        <w:rPr>
          <w:vertAlign w:val="subscript"/>
        </w:rPr>
        <w:t>1</w:t>
      </w:r>
      <w:r>
        <w:t>(x) is the Bessel function of the first kind and first order with argument;</w:t>
      </w:r>
    </w:p>
    <w:p>
      <w:pPr>
        <w:pStyle w:val="32"/>
      </w:pPr>
      <w:r>
        <w:t>-</w:t>
      </w:r>
      <w:r>
        <w:tab/>
      </w:r>
      <w:r>
        <w:t xml:space="preserve">x, </w:t>
      </w:r>
      <w:r>
        <w:fldChar w:fldCharType="begin"/>
      </w:r>
      <w:r>
        <w:instrText xml:space="preserve"> QUOTE </w:instrText>
      </w:r>
      <m:oMath>
        <m:r>
          <m:rPr>
            <m:sty m:val="p"/>
          </m:rPr>
          <w:rPr>
            <w:rFonts w:ascii="Cambria Math" w:hAnsi="Cambria Math"/>
          </w:rPr>
          <m:t xml:space="preserve">a</m:t>
        </m:r>
      </m:oMath>
      <w:r>
        <w:instrText xml:space="preserve"> </w:instrText>
      </w:r>
      <w:r>
        <w:fldChar w:fldCharType="separate"/>
      </w:r>
      <w:r>
        <w:rPr>
          <w:position w:val="-6"/>
        </w:rPr>
        <w:object>
          <v:shape id="_x0000_i1025" o:spt="75" type="#_x0000_t75" style="height:6.9pt;width:6.9pt;" o:ole="t" filled="f" o:preferrelative="t" stroked="f" coordsize="21600,21600">
            <v:path/>
            <v:fill on="f" focussize="0,0"/>
            <v:stroke on="f" joinstyle="miter"/>
            <v:imagedata o:title=""/>
            <o:lock v:ext="edit" aspectratio="t"/>
            <w10:wrap type="none"/>
            <w10:anchorlock/>
          </v:shape>
          <o:OLEObject Type="Embed" ProgID="Equation.3" ShapeID="_x0000_i1025" DrawAspect="Content" ObjectID="_1468075725" r:id="rId6">
            <o:LockedField>false</o:LockedField>
          </o:OLEObject>
        </w:object>
      </w:r>
      <w:r>
        <w:fldChar w:fldCharType="end"/>
      </w:r>
      <w:r>
        <w:t xml:space="preserve"> is the radius of the antenna's circular aperture;</w:t>
      </w:r>
    </w:p>
    <w:p>
      <w:pPr>
        <w:pStyle w:val="32"/>
      </w:pPr>
      <w:r>
        <w:t>-</w:t>
      </w:r>
      <w:r>
        <w:tab/>
      </w:r>
      <w:r>
        <w:t>k = 2</w:t>
      </w:r>
      <w:r>
        <w:rPr>
          <w:rFonts w:ascii="Symbol" w:hAnsi="Symbol"/>
        </w:rPr>
        <w:t></w:t>
      </w:r>
      <w:r>
        <w:t>f/c is the wave number;</w:t>
      </w:r>
    </w:p>
    <w:p>
      <w:pPr>
        <w:pStyle w:val="32"/>
      </w:pPr>
      <w:r>
        <w:t>-</w:t>
      </w:r>
      <w:r>
        <w:tab/>
      </w:r>
      <w:r>
        <w:t>f is the frequency of operation;</w:t>
      </w:r>
    </w:p>
    <w:p>
      <w:pPr>
        <w:pStyle w:val="32"/>
      </w:pPr>
      <w:r>
        <w:t>-</w:t>
      </w:r>
      <w:r>
        <w:tab/>
      </w:r>
      <w:r>
        <w:t xml:space="preserve">c is the speed of light in a vacuum and </w:t>
      </w:r>
      <w:r>
        <w:rPr>
          <w:rFonts w:ascii="Symbol" w:hAnsi="Symbol"/>
        </w:rPr>
        <w:t></w:t>
      </w:r>
      <w:r>
        <w:t xml:space="preserve"> is the angle measured from the bore sight of the antenna's main beam. </w:t>
      </w:r>
    </w:p>
    <w:p>
      <w:r>
        <w:t xml:space="preserve">Note that </w:t>
      </w:r>
      <w:r>
        <w:rPr>
          <w:i/>
        </w:rPr>
        <w:t>ka</w:t>
      </w:r>
      <w:r>
        <w:t xml:space="preserve"> equals to the number of wavelengths on the circumference of the aperture and is independent of the operating frequency.</w:t>
      </w:r>
    </w:p>
    <w:p>
      <w:pPr>
        <w:rPr>
          <w:rFonts w:eastAsia="宋体"/>
        </w:rPr>
      </w:pPr>
      <w:r>
        <w:rPr>
          <w:rFonts w:eastAsia="宋体"/>
        </w:rPr>
        <w:t xml:space="preserve">The antenna patterns for LEO 600km, 1200km and GEO are shown in Figure 6.2.3.1-1 and 6.2.3.1-2. </w:t>
      </w:r>
    </w:p>
    <w:p>
      <w:pPr>
        <w:jc w:val="center"/>
        <w:rPr>
          <w:rFonts w:eastAsia="宋体"/>
          <w:b/>
        </w:rPr>
      </w:pPr>
      <w:r>
        <w:rPr>
          <w:rFonts w:eastAsia="宋体"/>
          <w:lang w:val="en-US" w:eastAsia="zh-CN"/>
        </w:rPr>
        <w:drawing>
          <wp:inline distT="0" distB="0" distL="114300" distR="114300">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7"/>
                    <a:stretch>
                      <a:fillRect/>
                    </a:stretch>
                  </pic:blipFill>
                  <pic:spPr>
                    <a:xfrm>
                      <a:off x="0" y="0"/>
                      <a:ext cx="2930525" cy="2192655"/>
                    </a:xfrm>
                    <a:prstGeom prst="rect">
                      <a:avLst/>
                    </a:prstGeom>
                    <a:noFill/>
                    <a:ln>
                      <a:noFill/>
                    </a:ln>
                  </pic:spPr>
                </pic:pic>
              </a:graphicData>
            </a:graphic>
          </wp:inline>
        </w:drawing>
      </w:r>
    </w:p>
    <w:p>
      <w:pPr>
        <w:pStyle w:val="45"/>
      </w:pPr>
      <w:r>
        <w:t xml:space="preserve">Figure 6.2.3.1-1: </w:t>
      </w:r>
      <w:r>
        <w:rPr>
          <w:rFonts w:hint="eastAsia"/>
        </w:rPr>
        <w:t xml:space="preserve"> </w:t>
      </w:r>
      <w:r>
        <w:t>A</w:t>
      </w:r>
      <w:r>
        <w:rPr>
          <w:rFonts w:hint="eastAsia"/>
        </w:rPr>
        <w:t xml:space="preserve">ntenna pattern for LEO 600KM and 1200KM </w:t>
      </w:r>
      <w:r>
        <w:t>(4.4127</w:t>
      </w:r>
      <w:r>
        <w:rPr>
          <w:rFonts w:hint="eastAsia"/>
        </w:rPr>
        <w:t xml:space="preserve"> deg for 3dB beamwidth</w:t>
      </w:r>
      <w:r>
        <w:t>)</w:t>
      </w:r>
    </w:p>
    <w:p>
      <w:pPr>
        <w:jc w:val="center"/>
        <w:rPr>
          <w:rFonts w:ascii="Arial" w:hAnsi="Arial" w:eastAsia="宋体" w:cs="Arial"/>
          <w:b/>
          <w:sz w:val="18"/>
        </w:rPr>
      </w:pPr>
      <w:r>
        <w:rPr>
          <w:rFonts w:eastAsia="宋体"/>
          <w:lang w:val="en-US" w:eastAsia="zh-CN"/>
        </w:rPr>
        <w:drawing>
          <wp:inline distT="0" distB="0" distL="114300" distR="114300">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8"/>
                    <a:stretch>
                      <a:fillRect/>
                    </a:stretch>
                  </pic:blipFill>
                  <pic:spPr>
                    <a:xfrm>
                      <a:off x="0" y="0"/>
                      <a:ext cx="2930525" cy="2192655"/>
                    </a:xfrm>
                    <a:prstGeom prst="rect">
                      <a:avLst/>
                    </a:prstGeom>
                    <a:noFill/>
                    <a:ln>
                      <a:noFill/>
                    </a:ln>
                  </pic:spPr>
                </pic:pic>
              </a:graphicData>
            </a:graphic>
          </wp:inline>
        </w:drawing>
      </w:r>
    </w:p>
    <w:p>
      <w:pPr>
        <w:pStyle w:val="45"/>
        <w:rPr>
          <w:i/>
        </w:rPr>
      </w:pPr>
      <w:r>
        <w:rPr>
          <w:rFonts w:hint="eastAsia"/>
        </w:rPr>
        <w:t xml:space="preserve">Figure </w:t>
      </w:r>
      <w:r>
        <w:t>6.2.3.1-2:</w:t>
      </w:r>
      <w:r>
        <w:rPr>
          <w:rFonts w:hint="eastAsia"/>
        </w:rPr>
        <w:t xml:space="preserve"> </w:t>
      </w:r>
      <w:r>
        <w:t>A</w:t>
      </w:r>
      <w:r>
        <w:rPr>
          <w:rFonts w:hint="eastAsia"/>
        </w:rPr>
        <w:t xml:space="preserve">ntenna pattern for antenna aperture of GEO </w:t>
      </w:r>
      <w:r>
        <w:t>(0.4011</w:t>
      </w:r>
      <w:r>
        <w:rPr>
          <w:rFonts w:hint="eastAsia"/>
        </w:rPr>
        <w:t xml:space="preserve"> deg for 3dB beamwidth</w:t>
      </w:r>
      <w:r>
        <w:t>)</w:t>
      </w:r>
    </w:p>
    <w:p>
      <w:r>
        <w:t>The beam layout definition for a single satellite simulation in S-Band is defined in Table 6.2.3.1-1.</w:t>
      </w:r>
    </w:p>
    <w:p>
      <w:pPr>
        <w:pStyle w:val="46"/>
      </w:pPr>
      <w:r>
        <w:t>Table 6.2.3.1-1: Beam layout definition for single satellite simulation</w:t>
      </w:r>
    </w:p>
    <w:tbl>
      <w:tblPr>
        <w:tblStyle w:val="23"/>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2508"/>
        <w:gridCol w:w="2538"/>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Beam layout definition</w:t>
            </w:r>
          </w:p>
        </w:tc>
        <w:tc>
          <w:tcPr>
            <w:tcW w:w="7452" w:type="dxa"/>
            <w:gridSpan w:val="3"/>
            <w:shd w:val="clear" w:color="auto" w:fill="auto"/>
          </w:tcPr>
          <w:p>
            <w:pPr>
              <w:pStyle w:val="35"/>
            </w:pPr>
            <w:r>
              <w:t>Baseline: Hexagonal mapping of the beam bore sight directions on UV plane defined in the satellite reference frame.</w:t>
            </w:r>
          </w:p>
          <w:p>
            <w:pPr>
              <w:pStyle w:val="35"/>
            </w:pPr>
            <w:r>
              <w:t xml:space="preserve">Only the 3dB beam width parameters should be used. The beam diameter and beam spacing values can be computed directly from the 3 dB beam width assumptions and should be considered as informative.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Number of beams</w:t>
            </w:r>
          </w:p>
        </w:tc>
        <w:tc>
          <w:tcPr>
            <w:tcW w:w="7452" w:type="dxa"/>
            <w:gridSpan w:val="3"/>
            <w:shd w:val="clear" w:color="auto" w:fill="auto"/>
          </w:tcPr>
          <w:p>
            <w:pPr>
              <w:pStyle w:val="35"/>
            </w:pPr>
            <w:r>
              <w:t>Baseline: 7-beam layout (i.e. 6 co-frequency beams surrounding the central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UV plane illustration (extracted from [19])</w:t>
            </w:r>
          </w:p>
        </w:tc>
        <w:tc>
          <w:tcPr>
            <w:tcW w:w="7452" w:type="dxa"/>
            <w:gridSpan w:val="3"/>
            <w:shd w:val="clear" w:color="auto" w:fill="auto"/>
          </w:tcPr>
          <w:p>
            <w:pPr>
              <w:pStyle w:val="35"/>
              <w:rPr>
                <w:lang w:val="zh-CN"/>
              </w:rPr>
            </w:pPr>
            <w:r>
              <w:rPr>
                <w:lang w:val="en-US" w:eastAsia="zh-CN"/>
              </w:rPr>
              <w:drawing>
                <wp:inline distT="0" distB="0" distL="0" distR="0">
                  <wp:extent cx="3900805" cy="2523490"/>
                  <wp:effectExtent l="0" t="0" r="635" b="635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UV plane convention</w:t>
            </w:r>
          </w:p>
        </w:tc>
        <w:tc>
          <w:tcPr>
            <w:tcW w:w="7452" w:type="dxa"/>
            <w:gridSpan w:val="3"/>
            <w:shd w:val="clear" w:color="auto" w:fill="auto"/>
          </w:tcPr>
          <w:p>
            <w:pPr>
              <w:pStyle w:val="35"/>
            </w:pPr>
            <w:r>
              <w:t>U axis is defined as the perpendicular line to the satellite-earth line on the orbital plane as illustrated here after:</w:t>
            </w:r>
          </w:p>
          <w:p>
            <w:pPr>
              <w:pStyle w:val="35"/>
              <w:rPr>
                <w:lang w:val="zh-CN"/>
              </w:rPr>
            </w:pPr>
            <w:r>
              <w:rPr>
                <w:lang w:val="en-US" w:eastAsia="zh-CN"/>
              </w:rPr>
              <w:drawing>
                <wp:inline distT="0" distB="0" distL="0" distR="0">
                  <wp:extent cx="2546985" cy="1442720"/>
                  <wp:effectExtent l="0" t="0" r="1333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pPr>
              <w:pStyle w:val="35"/>
            </w:pPr>
            <w:r>
              <w:t>The straight line being orthogonal to UV plane is pointing towards the Earth centre.</w:t>
            </w:r>
          </w:p>
          <w:p>
            <w:pPr>
              <w:pStyle w:val="35"/>
            </w:pPr>
            <w:r>
              <w:t>UV coordinates of the nadir of the reference satellite is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Adjacent beam spacing on UV plane</w:t>
            </w:r>
          </w:p>
        </w:tc>
        <w:tc>
          <w:tcPr>
            <w:tcW w:w="7452" w:type="dxa"/>
            <w:gridSpan w:val="3"/>
            <w:shd w:val="clear" w:color="auto" w:fill="auto"/>
          </w:tcPr>
          <w:p>
            <w:pPr>
              <w:pStyle w:val="35"/>
            </w:pPr>
            <w:r>
              <w:t>Baseline: Adjacent beam spacing computation based on 3dB beam width of the satellite antenna pattern:</w:t>
            </w:r>
          </w:p>
          <w:p>
            <w:pPr>
              <w:pStyle w:val="35"/>
            </w:pPr>
            <w:r>
              <w:t>ABS[rad] = sqrt(3) x sin(HPBW[degrees]/2) or ABS[rad] = sqrt(3) x sinr(HPBW[rad]/2)</w:t>
            </w:r>
          </w:p>
          <w:p>
            <w:pPr>
              <w:pStyle w:val="35"/>
            </w:pPr>
            <w:r>
              <w:t xml:space="preserve">with ABS [degree]=180/pi x ABS[rad] and </w:t>
            </w:r>
          </w:p>
          <w:p>
            <w:pPr>
              <w:pStyle w:val="35"/>
              <w:rPr>
                <w:lang w:val="sv-SE"/>
              </w:rPr>
            </w:pPr>
            <w:r>
              <w:t>with HPBW the Half-Power BandWidth of the main lobe from the satellite antenna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Central beam bore sight direction definition</w:t>
            </w:r>
          </w:p>
        </w:tc>
        <w:tc>
          <w:tcPr>
            <w:tcW w:w="7452" w:type="dxa"/>
            <w:gridSpan w:val="3"/>
            <w:shd w:val="clear" w:color="auto" w:fill="auto"/>
          </w:tcPr>
          <w:p>
            <w:pPr>
              <w:pStyle w:val="35"/>
            </w:pPr>
            <w:r>
              <w:t xml:space="preserve">Baseline: </w:t>
            </w:r>
          </w:p>
          <w:p>
            <w:pPr>
              <w:pStyle w:val="35"/>
            </w:pPr>
            <w:r>
              <w:t>Case 1: Central beam center is considered at nadir point</w:t>
            </w:r>
          </w:p>
          <w:p>
            <w:pPr>
              <w:pStyle w:val="35"/>
            </w:pPr>
            <w:r>
              <w:t>Case 2: 45° for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051" w:type="dxa"/>
            <w:tcBorders>
              <w:left w:val="single" w:color="auto" w:sz="4" w:space="0"/>
              <w:bottom w:val="single" w:color="auto" w:sz="4" w:space="0"/>
              <w:right w:val="single" w:color="auto" w:sz="4" w:space="0"/>
            </w:tcBorders>
            <w:shd w:val="clear" w:color="auto" w:fill="auto"/>
          </w:tcPr>
          <w:p>
            <w:pPr>
              <w:pStyle w:val="35"/>
            </w:pPr>
          </w:p>
        </w:tc>
        <w:tc>
          <w:tcPr>
            <w:tcW w:w="2508"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1: FRF=1</w:t>
            </w:r>
          </w:p>
          <w:p>
            <w:pPr>
              <w:pStyle w:val="35"/>
              <w:rPr>
                <w:lang w:val="zh-CN"/>
              </w:rPr>
            </w:pPr>
            <w:r>
              <w:rPr>
                <w:lang w:val="en-US" w:eastAsia="zh-CN"/>
              </w:rPr>
              <w:drawing>
                <wp:inline distT="0" distB="0" distL="0" distR="0">
                  <wp:extent cx="1443355" cy="1759585"/>
                  <wp:effectExtent l="0" t="0" r="4445" b="8255"/>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538"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2: FRF=3</w:t>
            </w:r>
          </w:p>
          <w:p>
            <w:pPr>
              <w:pStyle w:val="35"/>
              <w:rPr>
                <w:lang w:val="zh-CN"/>
              </w:rPr>
            </w:pPr>
            <w:r>
              <w:rPr>
                <w:lang w:val="en-US" w:eastAsia="zh-CN"/>
              </w:rPr>
              <w:drawing>
                <wp:inline distT="0" distB="0" distL="0" distR="0">
                  <wp:extent cx="1463040" cy="1800225"/>
                  <wp:effectExtent l="0" t="0" r="0" b="1333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406"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3: FRF=2</w:t>
            </w:r>
          </w:p>
          <w:p>
            <w:pPr>
              <w:pStyle w:val="35"/>
              <w:rPr>
                <w:lang w:val="zh-CN"/>
              </w:rPr>
            </w:pPr>
            <w:r>
              <w:rPr>
                <w:lang w:val="en-US" w:eastAsia="zh-CN"/>
              </w:rPr>
              <w:drawing>
                <wp:inline distT="0" distB="0" distL="0" distR="0">
                  <wp:extent cx="1389380" cy="1826260"/>
                  <wp:effectExtent l="0" t="0" r="1270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Polarization re-use</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pPr>
            <w:r>
              <w:t>Option 1: Disable</w:t>
            </w:r>
          </w:p>
          <w:p>
            <w:pPr>
              <w:pStyle w:val="35"/>
            </w:pPr>
            <w:r>
              <w:t>Option 2: Enable</w:t>
            </w:r>
          </w:p>
          <w:p>
            <w:pPr>
              <w:pStyle w:val="35"/>
            </w:pPr>
            <w:r>
              <w:t xml:space="preserve">Note: Polarization re-use should apply only if circular polarization for terminal antenna is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UEs outdoor/indoor distribution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100% outdoor distribution for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distribution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pPr>
            <w:r>
              <w:t>The cell area associated to a given beam is defined as the Voronoi cell associated with the corresponding beam centers.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configuration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S-band: 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orientation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Handheld: Random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attachment</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3" w:type="dxa"/>
            <w:gridSpan w:val="4"/>
            <w:tcBorders>
              <w:top w:val="single" w:color="auto" w:sz="4" w:space="0"/>
              <w:left w:val="single" w:color="auto" w:sz="4" w:space="0"/>
              <w:bottom w:val="single" w:color="auto" w:sz="4" w:space="0"/>
              <w:right w:val="single" w:color="auto" w:sz="4" w:space="0"/>
            </w:tcBorders>
            <w:vAlign w:val="center"/>
          </w:tcPr>
          <w:p>
            <w:pPr>
              <w:pStyle w:val="47"/>
            </w:pPr>
            <w:r>
              <w:t xml:space="preserve">NOTE 1: </w:t>
            </w:r>
            <w:r>
              <w:tab/>
            </w:r>
            <w:r>
              <w:t>Typical impairment values (additional frequency error, SNR loss) due to the feeder link except for delay can be considered to be negligible. When available, specific values can be considered in the evaluation and should be reported.</w:t>
            </w:r>
          </w:p>
          <w:p>
            <w:pPr>
              <w:pStyle w:val="47"/>
              <w:rPr>
                <w:strike/>
              </w:rPr>
            </w:pPr>
            <w:r>
              <w:t xml:space="preserve">NOTE 2: </w:t>
            </w:r>
            <w:r>
              <w:tab/>
            </w:r>
            <w:r>
              <w:t>For the calibration purpose, the ionospheric scintillation loss shall be considered equal to zero (i.e., the UEs are located between 20 and 60 degrees of latitude).</w:t>
            </w:r>
          </w:p>
        </w:tc>
      </w:tr>
    </w:tbl>
    <w:p/>
    <w:p>
      <w:pPr>
        <w:pStyle w:val="5"/>
        <w:rPr>
          <w:rFonts w:cs="Arial"/>
          <w:b/>
        </w:rPr>
      </w:pPr>
      <w:bookmarkStart w:id="48" w:name="_Toc87889249"/>
      <w:bookmarkStart w:id="49" w:name="_Toc104122354"/>
      <w:bookmarkStart w:id="50" w:name="_Toc94170350"/>
      <w:bookmarkStart w:id="51" w:name="_Toc104210160"/>
      <w:bookmarkStart w:id="52" w:name="_Toc106127632"/>
      <w:bookmarkStart w:id="53" w:name="_Toc104502872"/>
      <w:r>
        <w:rPr>
          <w:rFonts w:cs="Arial"/>
        </w:rPr>
        <w:t>6.2.3.2</w:t>
      </w:r>
      <w:r>
        <w:rPr>
          <w:rFonts w:cs="Arial"/>
        </w:rPr>
        <w:tab/>
      </w:r>
      <w:r>
        <w:rPr>
          <w:rFonts w:hint="eastAsia" w:cs="Arial"/>
        </w:rPr>
        <w:t>T</w:t>
      </w:r>
      <w:r>
        <w:rPr>
          <w:rFonts w:cs="Arial"/>
        </w:rPr>
        <w:t>N BS and UE antenna and beam forming pattern modelling</w:t>
      </w:r>
      <w:bookmarkEnd w:id="48"/>
      <w:bookmarkEnd w:id="49"/>
      <w:bookmarkEnd w:id="50"/>
      <w:bookmarkEnd w:id="51"/>
      <w:bookmarkEnd w:id="52"/>
      <w:bookmarkEnd w:id="53"/>
    </w:p>
    <w:p>
      <w:pPr>
        <w:spacing w:after="120"/>
        <w:rPr>
          <w:rFonts w:eastAsia="等线"/>
        </w:rPr>
      </w:pPr>
      <w:r>
        <w:rPr>
          <w:rFonts w:eastAsia="宋体"/>
        </w:rPr>
        <w:t xml:space="preserve">For AAS antenna, </w:t>
      </w:r>
      <w:r>
        <w:rPr>
          <w:rFonts w:hint="eastAsia" w:eastAsia="宋体"/>
        </w:rPr>
        <w:t>it</w:t>
      </w:r>
      <w:r>
        <w:rPr>
          <w:rFonts w:eastAsia="等线"/>
        </w:rPr>
        <w:t xml:space="preserve"> refer</w:t>
      </w:r>
      <w:r>
        <w:rPr>
          <w:rFonts w:hint="eastAsia" w:eastAsia="等线"/>
        </w:rPr>
        <w:t>s</w:t>
      </w:r>
      <w:r>
        <w:rPr>
          <w:rFonts w:eastAsia="等线"/>
        </w:rPr>
        <w:t xml:space="preserve"> to the pattern in TR 38.921 [14]</w:t>
      </w:r>
      <w:r>
        <w:rPr>
          <w:rFonts w:hint="eastAsia" w:eastAsia="等线"/>
        </w:rPr>
        <w:t>.</w:t>
      </w:r>
    </w:p>
    <w:p>
      <w:pPr>
        <w:pStyle w:val="46"/>
      </w:pPr>
      <w:r>
        <w:t>Table 6.2.3.2-1: AAS antenna parameters for 2GHz</w:t>
      </w:r>
    </w:p>
    <w:tbl>
      <w:tblPr>
        <w:tblStyle w:val="23"/>
        <w:tblW w:w="4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782"/>
        <w:gridCol w:w="2347"/>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p>
        </w:tc>
        <w:tc>
          <w:tcPr>
            <w:tcW w:w="172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p>
        </w:tc>
        <w:tc>
          <w:tcPr>
            <w:tcW w:w="1456" w:type="pct"/>
            <w:tcBorders>
              <w:top w:val="single" w:color="auto" w:sz="4" w:space="0"/>
              <w:left w:val="single" w:color="auto" w:sz="4" w:space="0"/>
              <w:bottom w:val="single" w:color="auto" w:sz="4" w:space="0"/>
              <w:right w:val="single" w:color="auto" w:sz="4" w:space="0"/>
            </w:tcBorders>
            <w:vAlign w:val="center"/>
          </w:tcPr>
          <w:p>
            <w:pPr>
              <w:pStyle w:val="33"/>
            </w:pPr>
            <w:r>
              <w:t>Rural</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w:t>
            </w:r>
          </w:p>
        </w:tc>
        <w:tc>
          <w:tcPr>
            <w:tcW w:w="46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Antenna pattern</w:t>
            </w:r>
          </w:p>
        </w:tc>
        <w:tc>
          <w:tcPr>
            <w:tcW w:w="2911" w:type="pct"/>
            <w:gridSpan w:val="2"/>
            <w:tcBorders>
              <w:top w:val="single" w:color="auto" w:sz="4" w:space="0"/>
              <w:left w:val="single" w:color="auto" w:sz="4" w:space="0"/>
              <w:bottom w:val="single" w:color="auto" w:sz="4" w:space="0"/>
              <w:right w:val="single" w:color="auto" w:sz="4" w:space="0"/>
            </w:tcBorders>
          </w:tcPr>
          <w:p>
            <w:pPr>
              <w:pStyle w:val="34"/>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Element gain (dBi)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7.1</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1.3</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Horizontal/vertical 3 dB beam width of single element (degree)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90º for H</w:t>
            </w:r>
          </w:p>
          <w:p>
            <w:pPr>
              <w:pStyle w:val="34"/>
            </w:pPr>
            <w:r>
              <w:t>54º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90º for H</w:t>
            </w:r>
          </w:p>
          <w:p>
            <w:pPr>
              <w:pStyle w:val="34"/>
            </w:pPr>
            <w:r>
              <w:t>65º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1.4</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Horizontal/vertical front</w:t>
            </w:r>
            <w:r>
              <w:noBreakHyphen/>
            </w:r>
            <w:r>
              <w:t>to</w:t>
            </w:r>
            <w:r>
              <w:noBreakHyphen/>
            </w:r>
            <w:r>
              <w:t>back ratio (dB)</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30 for both H/V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1.5</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Antenna polarization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Linear ±45º</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1.6</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Antenna array configuration (Row × Column) </w:t>
            </w:r>
            <w:r>
              <w:br w:type="textWrapping"/>
            </w:r>
            <w:r>
              <w:rPr>
                <w:vertAlign w:val="superscript"/>
              </w:rPr>
              <w:t>(Note 4)</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8 × 8 elements</w:t>
            </w:r>
          </w:p>
        </w:tc>
        <w:tc>
          <w:tcPr>
            <w:tcW w:w="1455" w:type="pct"/>
            <w:tcBorders>
              <w:top w:val="single" w:color="auto" w:sz="4" w:space="0"/>
              <w:left w:val="single" w:color="auto" w:sz="4" w:space="0"/>
              <w:bottom w:val="single" w:color="auto" w:sz="4" w:space="0"/>
            </w:tcBorders>
            <w:shd w:val="clear" w:color="auto" w:fill="auto"/>
            <w:vAlign w:val="center"/>
          </w:tcPr>
          <w:p>
            <w:pPr>
              <w:pStyle w:val="34"/>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1.7</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Horizontal/Vertical radiating element spacing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0.5 of wavelength for H, 0.9 of wavelength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0.5 of wavelength for H, 0.7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1.8</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Array Ohmic loss (dB)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2</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1.9</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Conducted power (before Ohmic loss) per antenna element (dBm) </w:t>
            </w:r>
            <w:r>
              <w:rPr>
                <w:vertAlign w:val="superscript"/>
              </w:rPr>
              <w:t>(Note 3)</w:t>
            </w:r>
            <w:r>
              <w:t xml:space="preserv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25</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1.10</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Base station maximum coverage angle in the horizontal plane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120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Base station vertical coverage range (degrees) </w:t>
            </w:r>
            <w:r>
              <w:rPr>
                <w:vertAlign w:val="superscript"/>
              </w:rPr>
              <w:t>(Note 1)</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90-100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90-120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Mechanical downtilt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3</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10</w:t>
            </w:r>
          </w:p>
        </w:tc>
      </w:tr>
    </w:tbl>
    <w:p/>
    <w:p>
      <w:pPr>
        <w:rPr>
          <w:szCs w:val="24"/>
        </w:rPr>
      </w:pPr>
      <w:r>
        <w:t>For non-AAS antenna, t</w:t>
      </w:r>
      <w:r>
        <w:rPr>
          <w:szCs w:val="24"/>
        </w:rPr>
        <w:t xml:space="preserve">he parameters in Table 6.2.3.2-1 are used for 2GHz BS antenna pattern in the NTN system simulation. </w:t>
      </w:r>
    </w:p>
    <w:p>
      <w:pPr>
        <w:pStyle w:val="46"/>
      </w:pPr>
      <w:r>
        <w:t>Table 6.2.3.2-1: FR1 BS Non-AAS antenna pattern for 2GHz</w:t>
      </w:r>
    </w:p>
    <w:tbl>
      <w:tblPr>
        <w:tblStyle w:val="23"/>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3747"/>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auto"/>
            <w:vAlign w:val="center"/>
          </w:tcPr>
          <w:p>
            <w:pPr>
              <w:pStyle w:val="33"/>
              <w:rPr>
                <w:lang w:val="zh-CN"/>
              </w:rPr>
            </w:pPr>
            <w:r>
              <w:t xml:space="preserve"> </w:t>
            </w:r>
            <w:r>
              <w:rPr>
                <w:lang w:val="zh-CN"/>
              </w:rPr>
              <w:t>Parameter for BS</w:t>
            </w:r>
          </w:p>
        </w:tc>
        <w:tc>
          <w:tcPr>
            <w:tcW w:w="5927" w:type="dxa"/>
            <w:gridSpan w:val="2"/>
            <w:shd w:val="clear" w:color="auto" w:fill="auto"/>
            <w:vAlign w:val="center"/>
          </w:tcPr>
          <w:p>
            <w:pPr>
              <w:pStyle w:val="33"/>
              <w:rPr>
                <w:lang w:val="zh-CN"/>
              </w:rPr>
            </w:pPr>
            <w:r>
              <w:rPr>
                <w:lang w:val="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pPr>
              <w:pStyle w:val="35"/>
            </w:pPr>
            <w:r>
              <w:t>Antenna vertical radiation pattern (dB)</w:t>
            </w:r>
          </w:p>
        </w:tc>
        <w:tc>
          <w:tcPr>
            <w:tcW w:w="5927" w:type="dxa"/>
            <w:gridSpan w:val="2"/>
            <w:vAlign w:val="center"/>
          </w:tcPr>
          <w:p>
            <w:pPr>
              <w:pStyle w:val="34"/>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-90°</m:t>
                                    </m:r>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pPr>
              <w:pStyle w:val="35"/>
            </w:pPr>
            <w:r>
              <w:t>Antenna horizontal radiation pattern (dB)</w:t>
            </w:r>
          </w:p>
        </w:tc>
        <w:tc>
          <w:tcPr>
            <w:tcW w:w="5927" w:type="dxa"/>
            <w:gridSpan w:val="2"/>
            <w:vAlign w:val="center"/>
          </w:tcPr>
          <w:p>
            <w:pPr>
              <w:pStyle w:val="34"/>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p>
            <w:pPr>
              <w:pStyle w:val="34"/>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pPr>
              <w:pStyle w:val="35"/>
            </w:pPr>
            <w:r>
              <w:t>Combining method for 3D antenna pattern (dB)</w:t>
            </w:r>
          </w:p>
        </w:tc>
        <w:tc>
          <w:tcPr>
            <w:tcW w:w="5927" w:type="dxa"/>
            <w:gridSpan w:val="2"/>
            <w:vAlign w:val="center"/>
          </w:tcPr>
          <w:p>
            <w:pPr>
              <w:pStyle w:val="34"/>
              <w:rPr>
                <w:lang w:val="zh-CN"/>
              </w:rPr>
            </w:pPr>
            <m:oMathPara>
              <m:oMath>
                <m:sSup>
                  <m:sSupPr>
                    <m:ctrlPr>
                      <w:rPr>
                        <w:rFonts w:ascii="Cambria Math" w:hAnsi="Cambria Math"/>
                        <w:sz w:val="20"/>
                        <w:lang w:val="zh-CN"/>
                      </w:rPr>
                    </m:ctrlPr>
                  </m:sSupPr>
                  <m:e>
                    <m:r>
                      <m:rPr>
                        <m:sty m:val="p"/>
                      </m:rPr>
                      <w:rPr>
                        <w:rFonts w:ascii="Cambria Math" w:hAnsi="Cambria Math"/>
                        <w:lang w:val="zh-CN"/>
                      </w:rPr>
                      <m:t>A</m:t>
                    </m:r>
                    <m:ctrlPr>
                      <w:rPr>
                        <w:rFonts w:ascii="Cambria Math" w:hAnsi="Cambria Math"/>
                        <w:sz w:val="20"/>
                        <w:lang w:val="zh-CN"/>
                      </w:rPr>
                    </m:ctrlPr>
                  </m:e>
                  <m:sup>
                    <m:r>
                      <w:rPr>
                        <w:rFonts w:ascii="Cambria Math" w:hAnsi="Cambria Math"/>
                        <w:lang w:val="zh-CN"/>
                      </w:rPr>
                      <m:t>“</m:t>
                    </m:r>
                    <m:ctrlPr>
                      <w:rPr>
                        <w:rFonts w:ascii="Cambria Math" w:hAnsi="Cambria Math"/>
                        <w:sz w:val="20"/>
                        <w:lang w:val="zh-CN"/>
                      </w:rPr>
                    </m:ctrlP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lang w:val="de-DE"/>
                      </w:rPr>
                    </m:ctrlPr>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,V</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m:t>
                            </m:r>
                            <m:r>
                              <w:rPr>
                                <w:rFonts w:hint="eastAsia" w:ascii="Cambria Math" w:hAnsi="Cambria Math"/>
                                <w:lang w:val="de-DE" w:eastAsia="zh-CN"/>
                              </w:rPr>
                              <m:t>H</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ctrlPr>
                          <w:rPr>
                            <w:rFonts w:ascii="Cambria Math" w:hAnsi="Cambria Math"/>
                            <w:i/>
                            <w:sz w:val="20"/>
                            <w:lang w:val="de-DE"/>
                          </w:rPr>
                        </m:ctrlPr>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ascii="Cambria Math" w:hAnsi="Cambria Math"/>
                            <w:lang w:val="de-DE"/>
                          </w:rPr>
                          <m:t>m</m:t>
                        </m:r>
                        <m:ctrlPr>
                          <w:rPr>
                            <w:rFonts w:ascii="Cambria Math" w:hAnsi="Cambria Math"/>
                            <w:i/>
                            <w:sz w:val="20"/>
                            <w:lang w:val="de-DE"/>
                          </w:rPr>
                        </m:ctrlPr>
                      </m:sub>
                    </m:sSub>
                    <m:ctrlPr>
                      <w:rPr>
                        <w:rFonts w:ascii="Cambria Math" w:hAnsi="Cambria Math"/>
                        <w:sz w:val="20"/>
                        <w:lang w:val="de-D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5"/>
            </w:pPr>
            <w:r>
              <w:t xml:space="preserve">Maximum directional gain of an antenna </w:t>
            </w:r>
            <w:r>
              <w:rPr>
                <w:i/>
              </w:rPr>
              <w:t>G</w:t>
            </w:r>
            <w:r>
              <w:rPr>
                <w:i/>
                <w:vertAlign w:val="subscript"/>
              </w:rPr>
              <w:t>E,max</w:t>
            </w:r>
          </w:p>
        </w:tc>
        <w:tc>
          <w:tcPr>
            <w:tcW w:w="5927" w:type="dxa"/>
            <w:gridSpan w:val="2"/>
            <w:vAlign w:val="center"/>
          </w:tcPr>
          <w:p>
            <w:pPr>
              <w:pStyle w:val="34"/>
              <w:rPr>
                <w:lang w:val="zh-CN"/>
              </w:rPr>
            </w:pPr>
            <w:r>
              <w:rPr>
                <w:lang w:val="zh-CN" w:eastAsia="ja-JP"/>
              </w:rPr>
              <w:t xml:space="preserve">17 </w:t>
            </w:r>
            <w:r>
              <w:rPr>
                <w:lang w:val="zh-CN"/>
              </w:rPr>
              <w:t xml:space="preserve">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5"/>
            </w:pPr>
            <w:r>
              <w:t>Conducted power</w:t>
            </w:r>
          </w:p>
        </w:tc>
        <w:tc>
          <w:tcPr>
            <w:tcW w:w="5927" w:type="dxa"/>
            <w:gridSpan w:val="2"/>
            <w:vAlign w:val="center"/>
          </w:tcPr>
          <w:p>
            <w:pPr>
              <w:pStyle w:val="34"/>
              <w:rPr>
                <w:lang w:val="zh-CN"/>
              </w:rPr>
            </w:pPr>
            <w:r>
              <w:rPr>
                <w:lang w:val="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restart"/>
            <w:shd w:val="clear" w:color="auto" w:fill="auto"/>
            <w:vAlign w:val="center"/>
          </w:tcPr>
          <w:p>
            <w:pPr>
              <w:pStyle w:val="35"/>
            </w:pPr>
            <w:r>
              <w:t>Mechanical downtilt in degrees</w:t>
            </w:r>
          </w:p>
        </w:tc>
        <w:tc>
          <w:tcPr>
            <w:tcW w:w="3747" w:type="dxa"/>
            <w:vAlign w:val="center"/>
          </w:tcPr>
          <w:p>
            <w:pPr>
              <w:pStyle w:val="34"/>
              <w:rPr>
                <w:lang w:val="zh-CN"/>
              </w:rPr>
            </w:pPr>
            <w:r>
              <w:rPr>
                <w:lang w:val="zh-CN"/>
              </w:rPr>
              <w:t>Rural</w:t>
            </w:r>
          </w:p>
        </w:tc>
        <w:tc>
          <w:tcPr>
            <w:tcW w:w="2180" w:type="dxa"/>
            <w:vAlign w:val="center"/>
          </w:tcPr>
          <w:p>
            <w:pPr>
              <w:pStyle w:val="34"/>
              <w:rPr>
                <w:lang w:val="zh-CN"/>
              </w:rPr>
            </w:pPr>
            <w:r>
              <w:rPr>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continue"/>
            <w:shd w:val="clear" w:color="auto" w:fill="auto"/>
            <w:vAlign w:val="center"/>
          </w:tcPr>
          <w:p>
            <w:pPr>
              <w:keepNext/>
              <w:keepLines/>
              <w:rPr>
                <w:rFonts w:eastAsia="微软雅黑"/>
                <w:sz w:val="18"/>
                <w:szCs w:val="18"/>
              </w:rPr>
            </w:pPr>
          </w:p>
        </w:tc>
        <w:tc>
          <w:tcPr>
            <w:tcW w:w="3747" w:type="dxa"/>
            <w:vAlign w:val="center"/>
          </w:tcPr>
          <w:p>
            <w:pPr>
              <w:pStyle w:val="34"/>
              <w:rPr>
                <w:lang w:val="zh-CN"/>
              </w:rPr>
            </w:pPr>
            <w:r>
              <w:rPr>
                <w:lang w:val="zh-CN"/>
              </w:rPr>
              <w:t>Urban</w:t>
            </w:r>
          </w:p>
        </w:tc>
        <w:tc>
          <w:tcPr>
            <w:tcW w:w="2180" w:type="dxa"/>
            <w:vAlign w:val="center"/>
          </w:tcPr>
          <w:p>
            <w:pPr>
              <w:pStyle w:val="34"/>
              <w:rPr>
                <w:lang w:val="zh-CN"/>
              </w:rPr>
            </w:pPr>
            <w:r>
              <w:rPr>
                <w:lang w:val="zh-CN"/>
              </w:rPr>
              <w:t>10</w:t>
            </w:r>
          </w:p>
        </w:tc>
      </w:tr>
    </w:tbl>
    <w:p>
      <w:bookmarkStart w:id="54" w:name="_Toc518937161"/>
      <w:bookmarkStart w:id="55" w:name="_Toc46233020"/>
    </w:p>
    <w:p>
      <w:pPr>
        <w:rPr>
          <w:b/>
          <w:u w:val="single"/>
        </w:rPr>
      </w:pPr>
      <w:r>
        <w:t>Only Non-AAS antenna can be used for NB-IoT</w:t>
      </w:r>
      <w:r>
        <w:rPr>
          <w:rFonts w:hint="eastAsia"/>
        </w:rPr>
        <w:t>.</w:t>
      </w:r>
    </w:p>
    <w:bookmarkEnd w:id="54"/>
    <w:bookmarkEnd w:id="55"/>
    <w:p>
      <w:r>
        <w:t>For UE antennas, a</w:t>
      </w:r>
      <w:r>
        <w:rPr>
          <w:rFonts w:hint="eastAsia"/>
        </w:rPr>
        <w:t>n</w:t>
      </w:r>
      <w:r>
        <w:t xml:space="preserve"> omni-directional radiation pattern with antenna gain 0dBi is assumed.</w:t>
      </w:r>
    </w:p>
    <w:p>
      <w:pPr>
        <w:pStyle w:val="4"/>
        <w:ind w:left="0" w:firstLine="0"/>
        <w:rPr>
          <w:rFonts w:cs="Arial"/>
          <w:lang w:eastAsia="zh-CN"/>
        </w:rPr>
      </w:pPr>
      <w:bookmarkStart w:id="56" w:name="_Toc87889251"/>
      <w:bookmarkStart w:id="57" w:name="_Toc94170352"/>
      <w:bookmarkStart w:id="58" w:name="_Toc104210162"/>
      <w:bookmarkStart w:id="59" w:name="_Toc104122356"/>
      <w:bookmarkStart w:id="60" w:name="_Toc104502874"/>
      <w:bookmarkStart w:id="61" w:name="_Toc106127634"/>
      <w:r>
        <w:rPr>
          <w:lang w:eastAsia="zh-CN"/>
        </w:rPr>
        <w:t>6.2.4</w:t>
      </w:r>
      <w:r>
        <w:rPr>
          <w:rFonts w:cs="Arial"/>
          <w:lang w:eastAsia="zh-CN"/>
        </w:rPr>
        <w:tab/>
      </w:r>
      <w:r>
        <w:rPr>
          <w:rFonts w:hint="eastAsia" w:cs="Arial"/>
          <w:lang w:eastAsia="zh-CN"/>
        </w:rPr>
        <w:t>ACIR</w:t>
      </w:r>
      <w:r>
        <w:rPr>
          <w:rFonts w:cs="Arial"/>
          <w:lang w:eastAsia="zh-CN"/>
        </w:rPr>
        <w:t xml:space="preserve"> model</w:t>
      </w:r>
      <w:bookmarkEnd w:id="56"/>
      <w:bookmarkEnd w:id="57"/>
      <w:bookmarkEnd w:id="58"/>
      <w:bookmarkEnd w:id="59"/>
      <w:bookmarkEnd w:id="60"/>
      <w:bookmarkEnd w:id="61"/>
    </w:p>
    <w:p>
      <w:pPr>
        <w:rPr>
          <w:lang w:val="sv-SE"/>
        </w:rPr>
      </w:pPr>
      <w:r>
        <w:rPr>
          <w:lang w:val="sv-SE"/>
        </w:rPr>
        <w:t>ACLR modelling for TN and NTN co-existence study referring to clause 5.1.1.4.1 and 5.1.1.4.2 in TR 36.942</w:t>
      </w:r>
      <w:r>
        <w:rPr>
          <w:color w:val="000000"/>
          <w:szCs w:val="18"/>
        </w:rPr>
        <w:t>[8]</w:t>
      </w:r>
      <w:r>
        <w:rPr>
          <w:lang w:val="sv-SE"/>
        </w:rPr>
        <w:t xml:space="preserve"> is used as baseline. The number of RBs refers to Table 6.2.2.1-4 and Table 6.2.2.4-1 respectively.</w:t>
      </w:r>
    </w:p>
    <w:p>
      <w:pPr>
        <w:numPr>
          <w:ilvl w:val="0"/>
          <w:numId w:val="0"/>
        </w:numPr>
        <w:rPr>
          <w:rFonts w:hint="default"/>
          <w:kern w:val="2"/>
          <w:sz w:val="21"/>
          <w:szCs w:val="24"/>
          <w:highlight w:val="none"/>
          <w:lang w:val="en-US" w:eastAsia="zh-CN" w:bidi="ar-SA"/>
        </w:rPr>
      </w:pPr>
      <w:r>
        <w:rPr>
          <w:rFonts w:hint="eastAsia"/>
          <w:kern w:val="2"/>
          <w:sz w:val="21"/>
          <w:szCs w:val="24"/>
          <w:highlight w:val="none"/>
          <w:lang w:val="en-US" w:eastAsia="zh-CN" w:bidi="ar-SA"/>
        </w:rPr>
        <w:t>In this system level simulation, effective ACLR is calculated based on section 6.3 of TR 36.802 and the main content is copied as bellow:</w:t>
      </w:r>
    </w:p>
    <w:p>
      <w:pPr>
        <w:rPr>
          <w:rFonts w:hint="eastAsia"/>
          <w:sz w:val="22"/>
          <w:szCs w:val="22"/>
          <w:lang w:val="en-US" w:eastAsia="zh-CN"/>
        </w:rPr>
      </w:pPr>
      <w:r>
        <w:rPr>
          <w:rFonts w:hint="eastAsia"/>
          <w:sz w:val="22"/>
          <w:szCs w:val="22"/>
          <w:lang w:val="en-US" w:eastAsia="zh-CN"/>
        </w:rPr>
        <w:t>A</w:t>
      </w:r>
      <w:r>
        <w:rPr>
          <w:sz w:val="22"/>
          <w:szCs w:val="22"/>
          <w:lang w:val="en-US" w:eastAsia="zh-CN"/>
        </w:rPr>
        <w:t>dditional</w:t>
      </w:r>
      <w:r>
        <w:rPr>
          <w:rFonts w:hint="eastAsia"/>
          <w:sz w:val="22"/>
          <w:szCs w:val="22"/>
          <w:lang w:val="en-US" w:eastAsia="zh-CN"/>
        </w:rPr>
        <w:t xml:space="preserve"> information on ACLR and ACS is shown as follows,</w:t>
      </w:r>
    </w:p>
    <w:p>
      <w:pPr>
        <w:pStyle w:val="32"/>
        <w:rPr>
          <w:lang w:val="en-US" w:eastAsia="zh-CN"/>
        </w:rPr>
      </w:pPr>
      <w:r>
        <w:rPr>
          <w:lang w:val="en-US" w:eastAsia="zh-CN"/>
        </w:rPr>
        <w:t>•</w:t>
      </w:r>
      <w:r>
        <w:rPr>
          <w:lang w:val="en-US" w:eastAsia="zh-CN"/>
        </w:rPr>
        <w:tab/>
      </w:r>
      <w:r>
        <w:rPr>
          <w:lang w:val="en-US" w:eastAsia="zh-CN"/>
        </w:rPr>
        <w:t>Definition and assumption</w:t>
      </w:r>
    </w:p>
    <w:p>
      <w:pPr>
        <w:pStyle w:val="97"/>
        <w:ind w:left="439" w:leftChars="209" w:firstLine="200" w:firstLineChars="91"/>
        <w:rPr>
          <w:lang w:val="en-US" w:eastAsia="zh-CN"/>
        </w:rPr>
      </w:pPr>
      <w:r>
        <w:rPr>
          <w:sz w:val="22"/>
          <w:szCs w:val="22"/>
          <w:lang w:val="en-US" w:eastAsia="zh-CN"/>
        </w:rPr>
        <w:t>•</w:t>
      </w:r>
      <w:r>
        <w:rPr>
          <w:sz w:val="22"/>
          <w:szCs w:val="22"/>
          <w:lang w:val="en-US" w:eastAsia="zh-CN"/>
        </w:rPr>
        <w:tab/>
      </w:r>
      <w:r>
        <w:rPr>
          <w:lang w:val="en-US" w:eastAsia="zh-CN"/>
        </w:rPr>
        <w:t>LTE ACLR and ACS are defined for its own bandwidth size</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NB-IoT ACLR and ACS are defined for its own bandwidth size</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Attenuations are flat in the adjacent 10 MHz</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ACLR and ACS are the inputs to the simulations</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ACLR_e is the effective ACLR in the interference calculation</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ACS_e is the effective ACS in the interference calculation</w:t>
      </w:r>
    </w:p>
    <w:p>
      <w:pPr>
        <w:pStyle w:val="32"/>
        <w:rPr>
          <w:lang w:val="en-US" w:eastAsia="zh-CN"/>
        </w:rPr>
      </w:pPr>
      <w:r>
        <w:rPr>
          <w:lang w:val="en-US" w:eastAsia="zh-CN"/>
        </w:rPr>
        <w:t>•</w:t>
      </w:r>
      <w:r>
        <w:rPr>
          <w:lang w:val="en-US" w:eastAsia="zh-CN"/>
        </w:rPr>
        <w:tab/>
      </w:r>
      <w:r>
        <w:rPr>
          <w:lang w:val="en-US" w:eastAsia="zh-CN"/>
        </w:rPr>
        <w:t xml:space="preserve">Interference from LTE to NB-IoT </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ACLR_e = ACLR – 10*log10((180kHz/(# of IoT users))/9MHz)</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ACS_e = ACS [pessimistic assumption]</w:t>
      </w:r>
    </w:p>
    <w:p>
      <w:pPr>
        <w:pStyle w:val="32"/>
        <w:rPr>
          <w:lang w:val="en-US" w:eastAsia="zh-CN"/>
        </w:rPr>
      </w:pPr>
      <w:r>
        <w:rPr>
          <w:lang w:val="en-US" w:eastAsia="zh-CN"/>
        </w:rPr>
        <w:t>•</w:t>
      </w:r>
      <w:r>
        <w:rPr>
          <w:lang w:val="en-US" w:eastAsia="zh-CN"/>
        </w:rPr>
        <w:tab/>
      </w:r>
      <w:r>
        <w:rPr>
          <w:lang w:val="en-US" w:eastAsia="zh-CN"/>
        </w:rPr>
        <w:t>Interference from NB-IoT to LTE</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ACLR_e = ACLR – 10*log10((9MHz/(# of LTE users))/180kHz) [pessimistic assumption]</w:t>
      </w:r>
    </w:p>
    <w:p>
      <w:pPr>
        <w:pStyle w:val="97"/>
        <w:ind w:left="420" w:leftChars="200" w:firstLine="218" w:firstLineChars="104"/>
        <w:rPr>
          <w:rFonts w:hint="eastAsia"/>
          <w:lang w:val="en-US" w:eastAsia="zh-CN"/>
        </w:rPr>
      </w:pPr>
      <w:r>
        <w:rPr>
          <w:lang w:val="en-US" w:eastAsia="zh-CN"/>
        </w:rPr>
        <w:t>•</w:t>
      </w:r>
      <w:r>
        <w:rPr>
          <w:lang w:val="en-US" w:eastAsia="zh-CN"/>
        </w:rPr>
        <w:tab/>
      </w:r>
      <w:r>
        <w:rPr>
          <w:lang w:val="en-US" w:eastAsia="zh-CN"/>
        </w:rPr>
        <w:t>ACS_e = ACS</w:t>
      </w:r>
    </w:p>
    <w:p>
      <w:pPr>
        <w:pStyle w:val="32"/>
        <w:rPr>
          <w:rFonts w:hint="eastAsia"/>
          <w:lang w:val="en-US" w:eastAsia="zh-CN"/>
        </w:rPr>
      </w:pPr>
      <w:r>
        <w:rPr>
          <w:lang w:val="en-US" w:eastAsia="zh-CN"/>
        </w:rPr>
        <w:t>•</w:t>
      </w:r>
      <w:r>
        <w:rPr>
          <w:lang w:val="en-US" w:eastAsia="zh-CN"/>
        </w:rPr>
        <w:tab/>
      </w:r>
      <w:r>
        <w:rPr>
          <w:lang w:val="en-US" w:eastAsia="zh-CN"/>
        </w:rPr>
        <w:t>The effective ACLR (ACLR_</w:t>
      </w:r>
      <w:r>
        <w:rPr>
          <w:rFonts w:hint="eastAsia"/>
          <w:lang w:val="en-US" w:eastAsia="zh-CN"/>
        </w:rPr>
        <w:t>e</w:t>
      </w:r>
      <w:r>
        <w:rPr>
          <w:lang w:val="en-US" w:eastAsia="zh-CN"/>
        </w:rPr>
        <w:t>) and effective ACS (ACS_e) shall be applied in the coexistence simulation for the calculation of victim system interference</w:t>
      </w:r>
    </w:p>
    <w:p>
      <w:pPr>
        <w:pStyle w:val="46"/>
        <w:rPr>
          <w:rFonts w:hint="eastAsia"/>
          <w:lang w:val="en-US" w:eastAsia="zh-CN"/>
        </w:rPr>
      </w:pPr>
      <w:r>
        <w:rPr>
          <w:rFonts w:hint="eastAsia"/>
          <w:lang w:val="en-US" w:eastAsia="zh-CN"/>
        </w:rPr>
        <w:drawing>
          <wp:inline distT="0" distB="0" distL="114300" distR="114300">
            <wp:extent cx="4855845" cy="2750185"/>
            <wp:effectExtent l="0" t="0" r="5715"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4855845" cy="2750185"/>
                    </a:xfrm>
                    <a:prstGeom prst="rect">
                      <a:avLst/>
                    </a:prstGeom>
                    <a:noFill/>
                    <a:ln>
                      <a:noFill/>
                    </a:ln>
                  </pic:spPr>
                </pic:pic>
              </a:graphicData>
            </a:graphic>
          </wp:inline>
        </w:drawing>
      </w:r>
    </w:p>
    <w:p>
      <w:pPr>
        <w:pStyle w:val="45"/>
        <w:rPr>
          <w:rFonts w:hint="eastAsia"/>
          <w:sz w:val="22"/>
          <w:szCs w:val="22"/>
          <w:lang w:val="en-US" w:eastAsia="zh-CN"/>
        </w:rPr>
      </w:pPr>
      <w:r>
        <w:rPr>
          <w:rFonts w:hint="eastAsia"/>
          <w:lang w:eastAsia="zh-CN"/>
        </w:rPr>
        <w:t>Figure</w:t>
      </w:r>
      <w:r>
        <w:t xml:space="preserve"> 6.</w:t>
      </w:r>
      <w:r>
        <w:rPr>
          <w:rFonts w:hint="eastAsia"/>
          <w:lang w:eastAsia="zh-CN"/>
        </w:rPr>
        <w:t>3</w:t>
      </w:r>
      <w:r>
        <w:t xml:space="preserve">-1 </w:t>
      </w:r>
      <w:r>
        <w:rPr>
          <w:lang w:eastAsia="zh-CN"/>
        </w:rPr>
        <w:t>Illustration of flat assumption of ACLR and ACS</w:t>
      </w:r>
    </w:p>
    <w:p>
      <w:pPr>
        <w:pStyle w:val="4"/>
        <w:ind w:left="0" w:firstLine="0"/>
        <w:rPr>
          <w:lang w:eastAsia="zh-CN"/>
        </w:rPr>
      </w:pPr>
      <w:bookmarkStart w:id="62" w:name="_Toc94170353"/>
      <w:bookmarkStart w:id="63" w:name="_Toc87889252"/>
      <w:bookmarkStart w:id="64" w:name="_Toc104502875"/>
      <w:bookmarkStart w:id="65" w:name="_Toc104122357"/>
      <w:bookmarkStart w:id="66" w:name="_Toc106127635"/>
      <w:bookmarkStart w:id="67" w:name="_Toc104210163"/>
      <w:r>
        <w:rPr>
          <w:lang w:eastAsia="zh-CN"/>
        </w:rPr>
        <w:t>6.2.5</w:t>
      </w:r>
      <w:r>
        <w:rPr>
          <w:rFonts w:cs="Arial"/>
          <w:lang w:eastAsia="zh-CN"/>
        </w:rPr>
        <w:tab/>
      </w:r>
      <w:r>
        <w:rPr>
          <w:rFonts w:hint="eastAsia" w:cs="Arial"/>
          <w:lang w:eastAsia="zh-CN"/>
        </w:rPr>
        <w:t>Prop</w:t>
      </w:r>
      <w:r>
        <w:rPr>
          <w:rFonts w:cs="Arial"/>
          <w:lang w:eastAsia="zh-CN"/>
        </w:rPr>
        <w:t>agation model</w:t>
      </w:r>
      <w:bookmarkEnd w:id="62"/>
      <w:bookmarkEnd w:id="63"/>
      <w:bookmarkEnd w:id="64"/>
      <w:bookmarkEnd w:id="65"/>
      <w:bookmarkEnd w:id="66"/>
      <w:bookmarkEnd w:id="67"/>
    </w:p>
    <w:p>
      <w:pPr>
        <w:pStyle w:val="5"/>
        <w:rPr>
          <w:rFonts w:cs="Arial"/>
          <w:b/>
        </w:rPr>
      </w:pPr>
      <w:bookmarkStart w:id="68" w:name="_Toc104210164"/>
      <w:bookmarkStart w:id="69" w:name="_Toc104122358"/>
      <w:bookmarkStart w:id="70" w:name="_Toc94170354"/>
      <w:bookmarkStart w:id="71" w:name="_Toc87889253"/>
      <w:bookmarkStart w:id="72" w:name="_Toc106127636"/>
      <w:bookmarkStart w:id="73" w:name="_Toc104502876"/>
      <w:r>
        <w:rPr>
          <w:rFonts w:cs="Arial"/>
        </w:rPr>
        <w:t>6.2.5.1</w:t>
      </w:r>
      <w:r>
        <w:rPr>
          <w:rFonts w:cs="Arial"/>
        </w:rPr>
        <w:tab/>
      </w:r>
      <w:r>
        <w:rPr>
          <w:rFonts w:cs="Arial"/>
        </w:rPr>
        <w:t>Propagation model between NTN SAN and UE</w:t>
      </w:r>
      <w:bookmarkEnd w:id="68"/>
      <w:bookmarkEnd w:id="69"/>
      <w:bookmarkEnd w:id="70"/>
      <w:bookmarkEnd w:id="71"/>
      <w:bookmarkEnd w:id="72"/>
      <w:bookmarkEnd w:id="73"/>
    </w:p>
    <w:p>
      <w:pPr>
        <w:rPr>
          <w:rFonts w:eastAsia="宋体"/>
        </w:rPr>
      </w:pPr>
      <w:r>
        <w:rPr>
          <w:rFonts w:hint="eastAsia" w:eastAsia="宋体"/>
        </w:rPr>
        <w:t>P</w:t>
      </w:r>
      <w:r>
        <w:rPr>
          <w:rFonts w:eastAsia="宋体"/>
        </w:rPr>
        <w:t>ropagation model between NTN SAN and UE should reference to section 6.6 in TR 38.811[5].</w:t>
      </w:r>
    </w:p>
    <w:p>
      <w:pPr>
        <w:pStyle w:val="5"/>
        <w:rPr>
          <w:rFonts w:cs="Arial"/>
          <w:b/>
        </w:rPr>
      </w:pPr>
      <w:bookmarkStart w:id="74" w:name="_Toc87889254"/>
      <w:bookmarkStart w:id="75" w:name="_Toc104502877"/>
      <w:bookmarkStart w:id="76" w:name="_Toc104210165"/>
      <w:bookmarkStart w:id="77" w:name="_Toc94170355"/>
      <w:bookmarkStart w:id="78" w:name="_Toc106127637"/>
      <w:bookmarkStart w:id="79" w:name="_Toc104122359"/>
      <w:r>
        <w:rPr>
          <w:rFonts w:cs="Arial"/>
        </w:rPr>
        <w:t>6.2.5.2</w:t>
      </w:r>
      <w:r>
        <w:rPr>
          <w:rFonts w:cs="Arial"/>
        </w:rPr>
        <w:tab/>
      </w:r>
      <w:r>
        <w:rPr>
          <w:rFonts w:cs="Arial"/>
        </w:rPr>
        <w:t>Propagation model between TN BS and UE</w:t>
      </w:r>
      <w:bookmarkEnd w:id="74"/>
      <w:bookmarkEnd w:id="75"/>
      <w:bookmarkEnd w:id="76"/>
      <w:bookmarkEnd w:id="77"/>
      <w:bookmarkEnd w:id="78"/>
      <w:bookmarkEnd w:id="79"/>
    </w:p>
    <w:p>
      <w:r>
        <w:t>Propagation model between TN BS and UE should reference to section 7.4 in TR 38.901</w:t>
      </w:r>
      <w:r>
        <w:rPr>
          <w:color w:val="000000"/>
          <w:szCs w:val="18"/>
        </w:rPr>
        <w:t>[10]</w:t>
      </w:r>
      <w:r>
        <w:t>.</w:t>
      </w:r>
    </w:p>
    <w:p>
      <w:pPr>
        <w:pStyle w:val="5"/>
        <w:rPr>
          <w:rFonts w:cs="Arial"/>
          <w:b/>
        </w:rPr>
      </w:pPr>
      <w:bookmarkStart w:id="80" w:name="_Toc104502878"/>
      <w:bookmarkStart w:id="81" w:name="_Toc94170356"/>
      <w:bookmarkStart w:id="82" w:name="_Toc106127638"/>
      <w:bookmarkStart w:id="83" w:name="_Toc87889255"/>
      <w:bookmarkStart w:id="84" w:name="_Toc104210166"/>
      <w:bookmarkStart w:id="85" w:name="_Toc104122360"/>
      <w:r>
        <w:rPr>
          <w:rFonts w:cs="Arial"/>
        </w:rPr>
        <w:t>6.2.5.3</w:t>
      </w:r>
      <w:r>
        <w:rPr>
          <w:rFonts w:cs="Arial"/>
        </w:rPr>
        <w:tab/>
      </w:r>
      <w:r>
        <w:rPr>
          <w:rFonts w:cs="Arial"/>
        </w:rPr>
        <w:t>Propagation model between NTN SAN and TN BS</w:t>
      </w:r>
      <w:bookmarkEnd w:id="80"/>
      <w:bookmarkEnd w:id="81"/>
      <w:bookmarkEnd w:id="82"/>
      <w:bookmarkEnd w:id="83"/>
      <w:bookmarkEnd w:id="84"/>
      <w:bookmarkEnd w:id="85"/>
    </w:p>
    <w:p>
      <w:pPr>
        <w:spacing w:after="120"/>
        <w:rPr>
          <w:rFonts w:eastAsia="宋体"/>
        </w:rPr>
      </w:pPr>
      <w:r>
        <w:rPr>
          <w:rFonts w:hint="eastAsia" w:eastAsia="宋体"/>
        </w:rPr>
        <w:t xml:space="preserve">Propagation model between NTN </w:t>
      </w:r>
      <w:r>
        <w:rPr>
          <w:rFonts w:eastAsia="宋体"/>
        </w:rPr>
        <w:t>SAN</w:t>
      </w:r>
      <w:r>
        <w:rPr>
          <w:rFonts w:hint="eastAsia" w:eastAsia="宋体"/>
        </w:rPr>
        <w:t xml:space="preserve"> and TN BS should reference to TS 38.811</w:t>
      </w:r>
      <w:r>
        <w:rPr>
          <w:rFonts w:eastAsia="宋体"/>
        </w:rPr>
        <w:t>[5]</w:t>
      </w:r>
      <w:r>
        <w:rPr>
          <w:rFonts w:hint="eastAsia" w:eastAsia="宋体"/>
        </w:rPr>
        <w:t xml:space="preserve"> which is used for DL-UL cross link interference for S band.</w:t>
      </w:r>
    </w:p>
    <w:p>
      <w:pPr>
        <w:pStyle w:val="4"/>
        <w:ind w:left="0" w:firstLine="0"/>
        <w:rPr>
          <w:lang w:eastAsia="zh-CN"/>
        </w:rPr>
      </w:pPr>
      <w:bookmarkStart w:id="86" w:name="_Toc104502880"/>
      <w:bookmarkStart w:id="87" w:name="_Toc87889257"/>
      <w:bookmarkStart w:id="88" w:name="_Toc104210168"/>
      <w:bookmarkStart w:id="89" w:name="_Toc104122362"/>
      <w:bookmarkStart w:id="90" w:name="_Toc94170358"/>
      <w:bookmarkStart w:id="91" w:name="_Toc106127640"/>
      <w:bookmarkStart w:id="92" w:name="_Toc79091615"/>
      <w:r>
        <w:rPr>
          <w:lang w:eastAsia="zh-CN"/>
        </w:rPr>
        <w:t>6.2.6</w:t>
      </w:r>
      <w:r>
        <w:rPr>
          <w:rFonts w:cs="Arial"/>
          <w:lang w:eastAsia="zh-CN"/>
        </w:rPr>
        <w:tab/>
      </w:r>
      <w:bookmarkStart w:id="93" w:name="_Toc494384421"/>
      <w:r>
        <w:t>Transmission power control model</w:t>
      </w:r>
      <w:bookmarkEnd w:id="86"/>
      <w:bookmarkEnd w:id="87"/>
      <w:bookmarkEnd w:id="88"/>
      <w:bookmarkEnd w:id="89"/>
      <w:bookmarkEnd w:id="90"/>
      <w:bookmarkEnd w:id="91"/>
      <w:bookmarkEnd w:id="93"/>
    </w:p>
    <w:p>
      <w:pPr>
        <w:pStyle w:val="5"/>
        <w:rPr>
          <w:rFonts w:cs="Arial"/>
          <w:b/>
          <w:lang w:val="sv-SE"/>
        </w:rPr>
      </w:pPr>
      <w:bookmarkStart w:id="94" w:name="_Toc87889258"/>
      <w:bookmarkStart w:id="95" w:name="_Toc104502881"/>
      <w:bookmarkStart w:id="96" w:name="_Toc94170359"/>
      <w:bookmarkStart w:id="97" w:name="_Toc104210169"/>
      <w:bookmarkStart w:id="98" w:name="_Toc106127641"/>
      <w:bookmarkStart w:id="99" w:name="_Toc104122363"/>
      <w:r>
        <w:rPr>
          <w:rFonts w:cs="Arial"/>
        </w:rPr>
        <w:t>6.2.6.1</w:t>
      </w:r>
      <w:r>
        <w:rPr>
          <w:rFonts w:cs="Arial"/>
        </w:rPr>
        <w:tab/>
      </w:r>
      <w:r>
        <w:rPr>
          <w:rFonts w:cs="Arial"/>
        </w:rPr>
        <w:t>TN UL TPC</w:t>
      </w:r>
      <w:bookmarkEnd w:id="94"/>
      <w:bookmarkEnd w:id="95"/>
      <w:bookmarkEnd w:id="96"/>
      <w:bookmarkEnd w:id="97"/>
      <w:bookmarkEnd w:id="98"/>
      <w:bookmarkEnd w:id="99"/>
    </w:p>
    <w:p>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hint="eastAsia" w:eastAsia="等线"/>
        </w:rPr>
        <w:t xml:space="preserve"> </w:t>
      </w:r>
      <w:r>
        <w:rPr>
          <w:rFonts w:eastAsia="MS Mincho"/>
          <w:lang w:eastAsia="ja-JP"/>
        </w:rPr>
        <w:t>applied for TN with following parameters.</w:t>
      </w:r>
    </w:p>
    <w:p>
      <w:pPr>
        <w:pStyle w:val="39"/>
        <w:jc w:val="center"/>
      </w:pPr>
      <w:r>
        <w:object>
          <v:shape id="_x0000_i1026" o:spt="75" type="#_x0000_t75" style="height:43.2pt;width:179.7pt;" o:ole="t" fillcolor="#00CC99"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p>
    <w:p>
      <w:r>
        <w:t xml:space="preserve">where: </w:t>
      </w:r>
    </w:p>
    <w:p>
      <w:pPr>
        <w:pStyle w:val="32"/>
      </w:pPr>
      <w:r>
        <w:t>-</w:t>
      </w:r>
      <w:r>
        <w:tab/>
      </w:r>
      <w:r>
        <w:t>P</w:t>
      </w:r>
      <w:r>
        <w:rPr>
          <w:vertAlign w:val="subscript"/>
        </w:rPr>
        <w:t>max</w:t>
      </w:r>
      <w:r>
        <w:t xml:space="preserve"> = 2</w:t>
      </w:r>
      <w:r>
        <w:rPr>
          <w:rFonts w:hint="eastAsia"/>
        </w:rPr>
        <w:t>3</w:t>
      </w:r>
      <w:r>
        <w:t xml:space="preserve">dBm, </w:t>
      </w:r>
    </w:p>
    <w:p>
      <w:pPr>
        <w:pStyle w:val="32"/>
      </w:pPr>
      <w:r>
        <w:t>-</w:t>
      </w:r>
      <w:r>
        <w:tab/>
      </w:r>
      <w:r>
        <w:t>R</w:t>
      </w:r>
      <w:r>
        <w:rPr>
          <w:vertAlign w:val="subscript"/>
        </w:rPr>
        <w:t>min</w:t>
      </w:r>
      <w:r>
        <w:t xml:space="preserve"> = </w:t>
      </w:r>
      <w:r>
        <w:rPr>
          <w:rFonts w:hint="eastAsia"/>
        </w:rPr>
        <w:t xml:space="preserve">TBD </w:t>
      </w:r>
      <w:r>
        <w:t xml:space="preserve">dB, </w:t>
      </w:r>
    </w:p>
    <w:p>
      <w:pPr>
        <w:pStyle w:val="32"/>
      </w:pPr>
      <w:r>
        <w:t>-</w:t>
      </w:r>
      <w:r>
        <w:tab/>
      </w:r>
      <w:r>
        <w:t>CL</w:t>
      </w:r>
      <w:r>
        <w:rPr>
          <w:vertAlign w:val="subscript"/>
        </w:rPr>
        <w:t>x-ile</w:t>
      </w:r>
      <w:r>
        <w:t xml:space="preserve"> and γ are set</w:t>
      </w:r>
      <w:r>
        <w:rPr>
          <w:rFonts w:hint="eastAsia"/>
        </w:rPr>
        <w:t xml:space="preserve"> as following</w:t>
      </w:r>
      <w:r>
        <w:t>:</w:t>
      </w:r>
    </w:p>
    <w:p>
      <w:pPr>
        <w:pStyle w:val="97"/>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pPr>
        <w:pStyle w:val="97"/>
        <w:rPr>
          <w:lang w:eastAsia="ja-JP"/>
        </w:rPr>
      </w:pPr>
      <w:r>
        <w:t>-</w:t>
      </w:r>
      <w:r>
        <w:tab/>
      </w:r>
      <w:r>
        <w:t>γ</w:t>
      </w:r>
      <w:r>
        <w:rPr>
          <w:lang w:eastAsia="ja-JP"/>
        </w:rPr>
        <w:t xml:space="preserve"> = 1For uplink scenario, </w:t>
      </w:r>
    </w:p>
    <w:p>
      <w:pPr>
        <w:pStyle w:val="5"/>
        <w:rPr>
          <w:rFonts w:cs="Arial"/>
          <w:b/>
          <w:lang w:val="sv-SE"/>
        </w:rPr>
      </w:pPr>
      <w:bookmarkStart w:id="100" w:name="_Toc94170360"/>
      <w:bookmarkStart w:id="101" w:name="_Toc104210170"/>
      <w:bookmarkStart w:id="102" w:name="_Toc106127642"/>
      <w:bookmarkStart w:id="103" w:name="_Toc104502882"/>
      <w:bookmarkStart w:id="104" w:name="_Toc104122364"/>
      <w:bookmarkStart w:id="105" w:name="_Toc87889259"/>
      <w:r>
        <w:rPr>
          <w:rFonts w:cs="Arial"/>
        </w:rPr>
        <w:t>6.2.6.2</w:t>
      </w:r>
      <w:r>
        <w:rPr>
          <w:rFonts w:cs="Arial"/>
        </w:rPr>
        <w:tab/>
      </w:r>
      <w:r>
        <w:rPr>
          <w:rFonts w:cs="Arial"/>
        </w:rPr>
        <w:t>NTN UL TPC</w:t>
      </w:r>
      <w:bookmarkEnd w:id="100"/>
      <w:bookmarkEnd w:id="101"/>
      <w:bookmarkEnd w:id="102"/>
      <w:bookmarkEnd w:id="103"/>
      <w:bookmarkEnd w:id="104"/>
      <w:bookmarkEnd w:id="105"/>
    </w:p>
    <w:p>
      <w:pPr>
        <w:rPr>
          <w:rFonts w:hint="default"/>
          <w:highlight w:val="yellow"/>
          <w:lang w:val="en-US"/>
        </w:rPr>
      </w:pPr>
      <w:r>
        <w:rPr>
          <w:lang w:val="sv-SE"/>
        </w:rPr>
        <w:t>For the coexistence study, the same TPC model of TN for NTN UL scenarios is adopted to align with UE UL power control parameters used in TR 38.821[6].</w:t>
      </w:r>
      <w:r>
        <w:rPr>
          <w:rFonts w:hint="eastAsia"/>
          <w:lang w:val="en-US" w:eastAsia="zh-CN"/>
        </w:rPr>
        <w:t xml:space="preserve"> Follow </w:t>
      </w:r>
      <w:r>
        <w:rPr>
          <w:lang w:val="sv-SE" w:eastAsia="en-US"/>
        </w:rPr>
        <w:t>36.942 section 5.1.1.6</w:t>
      </w:r>
      <w:r>
        <w:rPr>
          <w:rFonts w:hint="eastAsia"/>
          <w:lang w:val="sv-SE" w:eastAsia="zh-CN"/>
        </w:rPr>
        <w:t xml:space="preserve"> (set 1)</w:t>
      </w:r>
      <w:r>
        <w:rPr>
          <w:lang w:val="sv-SE" w:eastAsia="en-US"/>
        </w:rPr>
        <w:t xml:space="preserve"> by bandwidth scale</w:t>
      </w:r>
      <w:r>
        <w:rPr>
          <w:rFonts w:hint="eastAsia"/>
          <w:lang w:val="sv-SE" w:eastAsia="zh-CN"/>
        </w:rPr>
        <w:t>, target SNR at BS is 15 dB</w:t>
      </w:r>
      <w:r>
        <w:rPr>
          <w:rFonts w:hint="eastAsia"/>
          <w:lang w:val="en-US" w:eastAsia="zh-CN"/>
        </w:rPr>
        <w:t>.</w:t>
      </w:r>
    </w:p>
    <w:p>
      <w:pPr>
        <w:pStyle w:val="5"/>
        <w:rPr>
          <w:rFonts w:cs="Arial"/>
          <w:b/>
          <w:lang w:val="sv-SE"/>
        </w:rPr>
      </w:pPr>
      <w:bookmarkStart w:id="106" w:name="_Toc104210171"/>
      <w:bookmarkStart w:id="107" w:name="_Toc104122365"/>
      <w:bookmarkStart w:id="108" w:name="_Toc106127643"/>
      <w:bookmarkStart w:id="109" w:name="_Toc104502883"/>
      <w:bookmarkStart w:id="110" w:name="_Toc87889260"/>
      <w:bookmarkStart w:id="111" w:name="_Toc94170361"/>
      <w:r>
        <w:rPr>
          <w:rFonts w:cs="Arial"/>
        </w:rPr>
        <w:t>6.2.6.3</w:t>
      </w:r>
      <w:r>
        <w:rPr>
          <w:rFonts w:cs="Arial"/>
        </w:rPr>
        <w:tab/>
      </w:r>
      <w:r>
        <w:rPr>
          <w:rFonts w:cs="Arial"/>
        </w:rPr>
        <w:t>NTN DL TPC</w:t>
      </w:r>
      <w:bookmarkEnd w:id="106"/>
      <w:bookmarkEnd w:id="107"/>
      <w:bookmarkEnd w:id="108"/>
      <w:bookmarkEnd w:id="109"/>
      <w:bookmarkEnd w:id="110"/>
      <w:bookmarkEnd w:id="111"/>
    </w:p>
    <w:p>
      <w:pPr>
        <w:rPr>
          <w:lang w:val="sv-SE"/>
        </w:rPr>
      </w:pPr>
      <w:r>
        <w:rPr>
          <w:lang w:val="sv-SE"/>
        </w:rPr>
        <w:t>For downlink scenario, no power control scheme is applied.</w:t>
      </w:r>
    </w:p>
    <w:p>
      <w:pPr>
        <w:pStyle w:val="4"/>
        <w:ind w:left="0" w:firstLine="0"/>
        <w:rPr>
          <w:lang w:eastAsia="zh-CN"/>
        </w:rPr>
      </w:pPr>
      <w:bookmarkStart w:id="112" w:name="_Toc104122368"/>
      <w:bookmarkStart w:id="113" w:name="_Toc104502886"/>
      <w:bookmarkStart w:id="114" w:name="_Toc87889261"/>
      <w:bookmarkStart w:id="115" w:name="_Toc106127646"/>
      <w:bookmarkStart w:id="116" w:name="_Toc94170362"/>
      <w:bookmarkStart w:id="117" w:name="_Toc104210174"/>
      <w:r>
        <w:rPr>
          <w:lang w:eastAsia="zh-CN"/>
        </w:rPr>
        <w:t>6.2.7</w:t>
      </w:r>
      <w:r>
        <w:rPr>
          <w:rFonts w:cs="Arial"/>
          <w:lang w:eastAsia="zh-CN"/>
        </w:rPr>
        <w:tab/>
      </w:r>
      <w:r>
        <w:t>Received powe</w:t>
      </w:r>
      <w:r>
        <w:rPr>
          <w:rFonts w:hint="eastAsia"/>
          <w:lang w:val="en-US" w:eastAsia="zh-CN"/>
        </w:rPr>
        <w:t>-</w:t>
      </w:r>
      <w:r>
        <w:t>r model</w:t>
      </w:r>
      <w:bookmarkEnd w:id="112"/>
      <w:bookmarkEnd w:id="113"/>
      <w:bookmarkEnd w:id="114"/>
      <w:bookmarkEnd w:id="115"/>
      <w:bookmarkEnd w:id="116"/>
      <w:bookmarkEnd w:id="117"/>
    </w:p>
    <w:p>
      <w:r>
        <w:t>The received power in downlink and uplink scenarios is defined as below:</w:t>
      </w:r>
    </w:p>
    <w:p>
      <w:pPr>
        <w:pStyle w:val="39"/>
        <w:jc w:val="center"/>
        <w:rPr>
          <w:i/>
        </w:rPr>
      </w:pPr>
      <w:r>
        <w:rPr>
          <w:i/>
        </w:rPr>
        <w:t>RX_PWR = TX_PWR – Path loss + G_TX + G_RX</w:t>
      </w:r>
    </w:p>
    <w:p>
      <w:r>
        <w:rPr>
          <w:rFonts w:hint="eastAsia"/>
          <w:lang w:eastAsia="zh-CN"/>
        </w:rPr>
        <w:t>w</w:t>
      </w:r>
      <w:r>
        <w:t>here:</w:t>
      </w:r>
      <w:r>
        <w:tab/>
      </w:r>
      <w:r>
        <w:tab/>
      </w:r>
      <w:r>
        <w:tab/>
      </w:r>
    </w:p>
    <w:p>
      <w:pPr>
        <w:pStyle w:val="32"/>
      </w:pPr>
      <w:r>
        <w:t>-</w:t>
      </w:r>
      <w:r>
        <w:tab/>
      </w:r>
      <w:r>
        <w:t>RX_PWR is the received power</w:t>
      </w:r>
    </w:p>
    <w:p>
      <w:pPr>
        <w:pStyle w:val="32"/>
      </w:pPr>
      <w:r>
        <w:t>-</w:t>
      </w:r>
      <w:r>
        <w:tab/>
      </w:r>
      <w:r>
        <w:t>TX_PWR is the transmitted power</w:t>
      </w:r>
    </w:p>
    <w:p>
      <w:pPr>
        <w:pStyle w:val="32"/>
      </w:pPr>
      <w:r>
        <w:t>-</w:t>
      </w:r>
      <w:r>
        <w:tab/>
      </w:r>
      <w:r>
        <w:t>G_TX is the transmitter antenna gain (directional array gain)</w:t>
      </w:r>
    </w:p>
    <w:p>
      <w:pPr>
        <w:pStyle w:val="32"/>
      </w:pPr>
      <w:r>
        <w:t>-</w:t>
      </w:r>
      <w:r>
        <w:tab/>
      </w:r>
      <w:r>
        <w:t>G_RX is the receiver antenna gain (directional array gain).</w:t>
      </w:r>
    </w:p>
    <w:p>
      <w:pPr>
        <w:pStyle w:val="4"/>
        <w:ind w:left="0" w:firstLine="0"/>
      </w:pPr>
      <w:bookmarkStart w:id="118" w:name="_Toc104122369"/>
      <w:bookmarkStart w:id="119" w:name="_Toc104210175"/>
      <w:bookmarkStart w:id="120" w:name="_Toc106127647"/>
      <w:bookmarkStart w:id="121" w:name="_Toc104502887"/>
      <w:bookmarkStart w:id="122" w:name="_Toc94170363"/>
      <w:bookmarkStart w:id="123" w:name="_Toc87889262"/>
      <w:r>
        <w:rPr>
          <w:lang w:eastAsia="zh-CN"/>
        </w:rPr>
        <w:t>6.2.8</w:t>
      </w:r>
      <w:r>
        <w:rPr>
          <w:rFonts w:cs="Arial"/>
          <w:lang w:eastAsia="zh-CN"/>
        </w:rPr>
        <w:tab/>
      </w:r>
      <w:r>
        <w:t>Performance metric</w:t>
      </w:r>
      <w:bookmarkEnd w:id="118"/>
      <w:bookmarkEnd w:id="119"/>
      <w:bookmarkEnd w:id="120"/>
      <w:bookmarkEnd w:id="121"/>
      <w:bookmarkEnd w:id="122"/>
      <w:bookmarkEnd w:id="123"/>
    </w:p>
    <w:p>
      <w:r>
        <w:rPr>
          <w:rFonts w:hint="eastAsia"/>
        </w:rPr>
        <w:t>For NR,</w:t>
      </w:r>
      <w:r>
        <w:t xml:space="preserve"> t</w:t>
      </w:r>
      <w:r>
        <w:rPr>
          <w:rFonts w:hint="eastAsia"/>
        </w:rPr>
        <w:t>he average throughput loss and 5%-ile throughput loss should be less than 5%.</w:t>
      </w:r>
    </w:p>
    <w:p>
      <w:r>
        <w:t>F</w:t>
      </w:r>
      <w:r>
        <w:rPr>
          <w:rFonts w:hint="eastAsia"/>
        </w:rPr>
        <w:t xml:space="preserve">or </w:t>
      </w:r>
      <w:r>
        <w:rPr>
          <w:rFonts w:hint="eastAsia"/>
          <w:lang w:val="en-US" w:eastAsia="zh-CN"/>
        </w:rPr>
        <w:t xml:space="preserve">NB-IoT over </w:t>
      </w:r>
      <w:r>
        <w:rPr>
          <w:rFonts w:hint="eastAsia"/>
        </w:rPr>
        <w:t>NTN,</w:t>
      </w:r>
      <w:r>
        <w:t xml:space="preserve"> the average throughput loss and 5%-ile throughput loss should be less than 5%.</w:t>
      </w:r>
    </w:p>
    <w:p>
      <w:pPr>
        <w:pStyle w:val="4"/>
        <w:ind w:left="0" w:firstLine="0"/>
        <w:rPr>
          <w:rFonts w:hint="default" w:eastAsiaTheme="minorEastAsia"/>
          <w:lang w:val="en-US" w:eastAsia="zh-CN"/>
        </w:rPr>
      </w:pPr>
      <w:bookmarkStart w:id="124" w:name="_Toc106127648"/>
      <w:bookmarkStart w:id="125" w:name="_Toc87889263"/>
      <w:bookmarkStart w:id="126" w:name="_Toc104502888"/>
      <w:bookmarkStart w:id="127" w:name="_Toc94170364"/>
      <w:bookmarkStart w:id="128" w:name="_Toc104122370"/>
      <w:bookmarkStart w:id="129" w:name="_Toc104210176"/>
      <w:r>
        <w:rPr>
          <w:lang w:eastAsia="zh-CN"/>
        </w:rPr>
        <w:t>6.2.9</w:t>
      </w:r>
      <w:r>
        <w:rPr>
          <w:rFonts w:cs="Arial"/>
          <w:lang w:eastAsia="zh-CN"/>
        </w:rPr>
        <w:tab/>
      </w:r>
      <w:r>
        <w:t>Throughput ~ SNR mapping</w:t>
      </w:r>
      <w:bookmarkEnd w:id="124"/>
      <w:bookmarkEnd w:id="125"/>
      <w:bookmarkEnd w:id="126"/>
      <w:bookmarkEnd w:id="127"/>
      <w:bookmarkEnd w:id="128"/>
      <w:bookmarkEnd w:id="129"/>
      <w:r>
        <w:rPr>
          <w:rFonts w:hint="eastAsia"/>
          <w:lang w:val="en-US" w:eastAsia="zh-CN"/>
        </w:rPr>
        <w:t xml:space="preserve"> for NR</w:t>
      </w:r>
    </w:p>
    <w:p>
      <w:pPr>
        <w:rPr>
          <w:rFonts w:hint="eastAsia" w:eastAsia="等线"/>
          <w:lang w:val="en-US" w:eastAsia="zh-CN"/>
        </w:rPr>
      </w:pPr>
      <w:r>
        <w:rPr>
          <w:rFonts w:eastAsia="等线"/>
          <w:lang w:val="sv-SE"/>
        </w:rPr>
        <w:t>Adopt Section 5.2.7 of TR 38.803[20] as the SINR-Throughput performance metrics</w:t>
      </w:r>
      <w:r>
        <w:rPr>
          <w:rFonts w:hint="eastAsia" w:eastAsia="等线"/>
          <w:lang w:val="en-US" w:eastAsia="zh-CN"/>
        </w:rPr>
        <w:t>.</w:t>
      </w:r>
    </w:p>
    <w:p>
      <w:pPr>
        <w:rPr>
          <w:rFonts w:hint="eastAsia" w:eastAsia="等线"/>
          <w:lang w:val="en-US" w:eastAsia="zh-CN"/>
        </w:rPr>
      </w:pPr>
    </w:p>
    <w:p>
      <w:pPr>
        <w:rPr>
          <w:rFonts w:hint="default" w:eastAsia="等线"/>
          <w:lang w:val="en-US" w:eastAsia="zh-CN"/>
        </w:rPr>
      </w:pPr>
      <w:r>
        <w:rPr>
          <w:rFonts w:hint="eastAsia" w:eastAsia="等线"/>
          <w:lang w:val="en-US" w:eastAsia="zh-CN"/>
        </w:rPr>
        <w:t>Reference:</w:t>
      </w:r>
    </w:p>
    <w:tbl>
      <w:tblPr>
        <w:tblStyle w:val="23"/>
        <w:tblW w:w="9356"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56" w:hRule="atLeast"/>
        </w:trPr>
        <w:tc>
          <w:tcPr>
            <w:tcW w:w="9356" w:type="dxa"/>
            <w:shd w:val="clear" w:color="000000" w:fill="FFFFFF"/>
            <w:noWrap/>
          </w:tcPr>
          <w:p>
            <w:pPr>
              <w:spacing w:after="0"/>
              <w:rPr>
                <w:rFonts w:ascii="Arial" w:hAnsi="Arial" w:eastAsia="MS PGothic" w:cs="Arial"/>
                <w:sz w:val="16"/>
                <w:szCs w:val="16"/>
                <w:lang w:val="en-US" w:eastAsia="ja-JP"/>
              </w:rPr>
            </w:pPr>
            <w:r>
              <w:rPr>
                <w:rFonts w:ascii="Arial" w:hAnsi="Arial" w:eastAsia="MS PGothic" w:cs="Arial"/>
                <w:sz w:val="16"/>
                <w:szCs w:val="16"/>
                <w:lang w:val="en-US" w:eastAsia="ja-JP"/>
              </w:rPr>
              <w:t>[10.3.1] R4-167721 SINR vs throughput mapping Huawei, 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56" w:hRule="atLeast"/>
        </w:trPr>
        <w:tc>
          <w:tcPr>
            <w:tcW w:w="9356" w:type="dxa"/>
            <w:shd w:val="clear" w:color="000000" w:fill="FFFFFF"/>
            <w:noWrap/>
          </w:tcPr>
          <w:p>
            <w:pPr>
              <w:spacing w:after="0"/>
              <w:rPr>
                <w:rFonts w:ascii="Arial" w:hAnsi="Arial" w:eastAsia="MS PGothic" w:cs="Arial"/>
                <w:sz w:val="16"/>
                <w:szCs w:val="16"/>
                <w:lang w:val="en-US" w:eastAsia="ja-JP"/>
              </w:rPr>
            </w:pPr>
            <w:r>
              <w:rPr>
                <w:rFonts w:ascii="Arial" w:hAnsi="Arial" w:eastAsia="MS PGothic" w:cs="Arial"/>
                <w:sz w:val="16"/>
                <w:szCs w:val="16"/>
                <w:lang w:val="en-US" w:eastAsia="ja-JP"/>
              </w:rPr>
              <w:t>[10.3.1] R4-167722 TP for TR 38.803 SINR vs throughput mapping Huawei, Hisilicon</w:t>
            </w:r>
          </w:p>
        </w:tc>
      </w:tr>
    </w:tbl>
    <w:p>
      <w:pPr>
        <w:rPr>
          <w:rFonts w:hint="default" w:cs="Arial"/>
          <w:lang w:val="en-US" w:eastAsia="zh-CN"/>
        </w:rPr>
      </w:pPr>
    </w:p>
    <w:bookmarkEnd w:id="92"/>
    <w:p>
      <w:pPr>
        <w:pStyle w:val="3"/>
        <w:ind w:left="432" w:hanging="432"/>
      </w:pPr>
      <w:bookmarkStart w:id="130" w:name="_Toc104122371"/>
      <w:bookmarkStart w:id="131" w:name="_Toc94170365"/>
      <w:bookmarkStart w:id="132" w:name="_Toc106127649"/>
      <w:bookmarkStart w:id="133" w:name="_Toc104502889"/>
      <w:bookmarkStart w:id="134" w:name="_Toc87889264"/>
      <w:bookmarkStart w:id="135" w:name="_Toc104210177"/>
      <w:r>
        <w:t>6.3</w:t>
      </w:r>
      <w:r>
        <w:tab/>
      </w:r>
      <w:r>
        <w:t xml:space="preserve">Co-existence simulation </w:t>
      </w:r>
      <w:r>
        <w:rPr>
          <w:rFonts w:hint="eastAsia"/>
        </w:rPr>
        <w:t>methodology</w:t>
      </w:r>
      <w:bookmarkEnd w:id="130"/>
      <w:bookmarkEnd w:id="131"/>
      <w:bookmarkEnd w:id="132"/>
      <w:bookmarkEnd w:id="133"/>
      <w:bookmarkEnd w:id="134"/>
      <w:bookmarkEnd w:id="135"/>
    </w:p>
    <w:p>
      <w:pPr>
        <w:pStyle w:val="4"/>
      </w:pPr>
      <w:bookmarkStart w:id="136" w:name="_Toc104210178"/>
      <w:bookmarkStart w:id="137" w:name="_Toc104502890"/>
      <w:bookmarkStart w:id="138" w:name="_Toc104122372"/>
      <w:bookmarkStart w:id="139" w:name="_Toc106127650"/>
      <w:r>
        <w:rPr>
          <w:rFonts w:hint="eastAsia"/>
          <w:lang w:eastAsia="zh-CN"/>
        </w:rPr>
        <w:t>6.3.1</w:t>
      </w:r>
      <w:r>
        <w:tab/>
      </w:r>
      <w:r>
        <w:rPr>
          <w:rFonts w:hint="eastAsia"/>
          <w:lang w:eastAsia="zh-CN"/>
        </w:rPr>
        <w:t>Simulation</w:t>
      </w:r>
      <w:r>
        <w:t xml:space="preserve"> procedure</w:t>
      </w:r>
      <w:bookmarkEnd w:id="136"/>
      <w:bookmarkEnd w:id="137"/>
      <w:bookmarkEnd w:id="138"/>
      <w:bookmarkEnd w:id="139"/>
    </w:p>
    <w:p>
      <w:pPr>
        <w:spacing w:after="120"/>
        <w:rPr>
          <w:rFonts w:eastAsia="宋体"/>
        </w:rPr>
      </w:pPr>
      <w:r>
        <w:rPr>
          <w:rFonts w:eastAsia="宋体"/>
        </w:rPr>
        <w:t xml:space="preserve">Adopt following simulation steps. </w:t>
      </w:r>
    </w:p>
    <w:p>
      <w:pPr>
        <w:pStyle w:val="32"/>
        <w:rPr>
          <w:rFonts w:eastAsia="宋体"/>
          <w:szCs w:val="24"/>
        </w:rPr>
      </w:pPr>
      <w:r>
        <w:t>-</w:t>
      </w:r>
      <w:r>
        <w:tab/>
      </w:r>
      <w:r>
        <w:t xml:space="preserve">Step 1: Generate aggressor and victim networks. </w:t>
      </w:r>
    </w:p>
    <w:p>
      <w:pPr>
        <w:pStyle w:val="97"/>
        <w:rPr>
          <w:rFonts w:eastAsia="宋体"/>
        </w:rPr>
      </w:pPr>
      <w:r>
        <w:t>-</w:t>
      </w:r>
      <w:r>
        <w:tab/>
      </w:r>
      <w:r>
        <w:t>NTN central beam is at satellite nadir, surrounded with 6 co-frequency beams. NTN FRFs higher than 1 need to be considered. Assume one NTN aggressor as default.</w:t>
      </w:r>
    </w:p>
    <w:p>
      <w:pPr>
        <w:pStyle w:val="97"/>
        <w:rPr>
          <w:rFonts w:eastAsia="宋体"/>
        </w:rPr>
      </w:pPr>
      <w:r>
        <w:t>-</w:t>
      </w:r>
      <w:r>
        <w:tab/>
      </w:r>
      <w:r>
        <w:t>Deployment of TN network (19 cells with wraparound) refers to Table 6.2.1.1-1</w:t>
      </w:r>
    </w:p>
    <w:p>
      <w:pPr>
        <w:pStyle w:val="32"/>
        <w:rPr>
          <w:rFonts w:eastAsia="宋体"/>
          <w:szCs w:val="24"/>
        </w:rPr>
      </w:pPr>
      <w:r>
        <w:t>-</w:t>
      </w:r>
      <w:r>
        <w:tab/>
      </w:r>
      <w:r>
        <w:t>Step2: UE associations</w:t>
      </w:r>
    </w:p>
    <w:p>
      <w:pPr>
        <w:pStyle w:val="97"/>
        <w:rPr>
          <w:rFonts w:eastAsia="等线"/>
        </w:rPr>
      </w:pPr>
      <w:r>
        <w:t>-</w:t>
      </w:r>
      <w:r>
        <w:tab/>
      </w:r>
      <w:r>
        <w:t xml:space="preserve">TN UE are generated randomly inside the TN network, make sure enough TN UEs are associated to each TN sectors based on coupling loss. </w:t>
      </w:r>
    </w:p>
    <w:p>
      <w:pPr>
        <w:pStyle w:val="97"/>
        <w:rPr>
          <w:rFonts w:eastAsia="等线"/>
        </w:rPr>
      </w:pPr>
      <w:r>
        <w:rPr>
          <w:rFonts w:eastAsia="等线"/>
        </w:rPr>
        <w:t>-</w:t>
      </w:r>
      <w:r>
        <w:rPr>
          <w:rFonts w:eastAsia="等线"/>
        </w:rPr>
        <w:tab/>
      </w:r>
      <w:r>
        <w:rPr>
          <w:rFonts w:eastAsia="等线"/>
        </w:rPr>
        <w:t xml:space="preserve">Deployment of </w:t>
      </w:r>
      <w:r>
        <w:rPr>
          <w:rFonts w:hint="eastAsia" w:eastAsia="等线"/>
        </w:rPr>
        <w:t>N</w:t>
      </w:r>
      <w:r>
        <w:rPr>
          <w:rFonts w:eastAsia="等线"/>
        </w:rPr>
        <w:t xml:space="preserve">TN UE refers to </w:t>
      </w:r>
      <w:r>
        <w:t>Table 6.2.1.1-1</w:t>
      </w:r>
      <w:r>
        <w:rPr>
          <w:rFonts w:eastAsia="等线"/>
        </w:rPr>
        <w:t>.</w:t>
      </w:r>
    </w:p>
    <w:p>
      <w:pPr>
        <w:pStyle w:val="32"/>
        <w:rPr>
          <w:rFonts w:eastAsia="宋体"/>
          <w:szCs w:val="24"/>
        </w:rPr>
      </w:pPr>
      <w:r>
        <w:t>-</w:t>
      </w:r>
      <w:r>
        <w:tab/>
      </w:r>
      <w:r>
        <w:t>Step 3: Once association is done, round robin scheduling is used. BF weights are adjusted to point to the LOS direction between BS/SAN-UE. This</w:t>
      </w:r>
      <w:r>
        <w:rPr>
          <w:lang w:eastAsia="ja-JP"/>
        </w:rPr>
        <w:t xml:space="preserve"> is</w:t>
      </w:r>
      <w:r>
        <w:t xml:space="preserve"> done for both victim and aggressor networks.</w:t>
      </w:r>
    </w:p>
    <w:p>
      <w:pPr>
        <w:pStyle w:val="32"/>
        <w:rPr>
          <w:rFonts w:eastAsia="宋体"/>
          <w:szCs w:val="24"/>
        </w:rPr>
      </w:pPr>
      <w:r>
        <w:rPr>
          <w:lang w:eastAsia="ja-JP"/>
        </w:rPr>
        <w:t>-</w:t>
      </w:r>
      <w:r>
        <w:rPr>
          <w:lang w:eastAsia="ja-JP"/>
        </w:rPr>
        <w:tab/>
      </w:r>
      <w:r>
        <w:rPr>
          <w:lang w:eastAsia="ja-JP"/>
        </w:rPr>
        <w:t>Step 4: T</w:t>
      </w:r>
      <w:r>
        <w:t xml:space="preserve">hroughput </w:t>
      </w:r>
      <w:r>
        <w:rPr>
          <w:lang w:eastAsia="ja-JP"/>
        </w:rPr>
        <w:t xml:space="preserve">is computed </w:t>
      </w:r>
      <w:r>
        <w:t>in the victim systems without considering ACI</w:t>
      </w:r>
      <w:r>
        <w:rPr>
          <w:lang w:eastAsia="ja-JP"/>
        </w:rPr>
        <w:t xml:space="preserve"> as below:</w:t>
      </w:r>
    </w:p>
    <w:p>
      <w:pPr>
        <w:pStyle w:val="39"/>
        <w:jc w:val="center"/>
      </w:pPr>
      <m:oMath>
        <m:sSub>
          <m:sSubPr>
            <m:ctrlPr>
              <w:rPr>
                <w:rFonts w:ascii="Cambria Math" w:hAnsi="Cambria Math"/>
                <w:iCs/>
              </w:rPr>
            </m:ctrlPr>
          </m:sSubPr>
          <m:e>
            <m:r>
              <w:rPr>
                <w:rFonts w:ascii="Cambria Math" w:hAnsi="Cambria Math"/>
              </w:rPr>
              <m:t>Thput</m:t>
            </m:r>
            <m:ctrlPr>
              <w:rPr>
                <w:rFonts w:ascii="Cambria Math" w:hAnsi="Cambria Math"/>
                <w:iCs/>
              </w:rPr>
            </m:ctrlPr>
          </m:e>
          <m:sub>
            <m:r>
              <m:rPr>
                <m:sty m:val="p"/>
              </m:rPr>
              <w:rPr>
                <w:rFonts w:ascii="Cambria Math" w:hAnsi="Cambria Math"/>
              </w:rPr>
              <m:t>NO ACI</m:t>
            </m:r>
            <m:ctrlPr>
              <w:rPr>
                <w:rFonts w:ascii="Cambria Math" w:hAnsi="Cambria Math"/>
                <w:iCs/>
              </w:rPr>
            </m:ctrlPr>
          </m:sub>
        </m:sSub>
        <m:d>
          <m:dPr>
            <m:begChr m:val="["/>
            <m:endChr m:val="]"/>
            <m:ctrlPr>
              <w:rPr>
                <w:rFonts w:ascii="Cambria Math" w:hAnsi="Cambria Math"/>
                <w:iCs/>
              </w:rPr>
            </m:ctrlPr>
          </m:dPr>
          <m:e>
            <m:r>
              <w:rPr>
                <w:rFonts w:ascii="Cambria Math" w:hAnsi="Cambria Math"/>
              </w:rPr>
              <m:t>bpshz</m:t>
            </m:r>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ctrlPr>
                  <w:rPr>
                    <w:rFonts w:ascii="Cambria Math" w:hAnsi="Cambria Math"/>
                    <w:iCs/>
                  </w:rPr>
                </m:ctrlP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den>
            </m:f>
            <m:ctrlPr>
              <w:rPr>
                <w:rFonts w:ascii="Cambria Math" w:hAnsi="Cambria Math"/>
                <w:iCs/>
              </w:rPr>
            </m:ctrlPr>
          </m:e>
        </m:d>
      </m:oMath>
      <w:r>
        <w:t xml:space="preserve">, </w:t>
      </w:r>
    </w:p>
    <w:p>
      <w:pPr>
        <w:pStyle w:val="97"/>
      </w:pPr>
      <w:r>
        <w:t>where</w:t>
      </w:r>
      <w:r>
        <w:rPr>
          <w:lang w:eastAsia="zh-CN"/>
        </w:rPr>
        <w:t>:</w:t>
      </w:r>
      <w:r>
        <w:tab/>
      </w:r>
      <w:r>
        <w:tab/>
      </w:r>
      <w:r>
        <w:tab/>
      </w:r>
      <m:oMath>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oMath>
      <w:r>
        <w:t xml:space="preserve"> is the inter-cell interference.</w:t>
      </w:r>
    </w:p>
    <w:p>
      <w:pPr>
        <w:pStyle w:val="32"/>
        <w:ind w:left="284" w:firstLine="0"/>
        <w:rPr>
          <w:highlight w:val="yellow"/>
        </w:rPr>
      </w:pPr>
      <w:r>
        <w:t>For TN-NTN SINR calculation, the satellite receiver off angle should be considered in the satellite receiver gain calculation when calculating SINR. Note that such angle is not considered in TR 38.821[6] section 6.1.3 equations. Thus those equations should be used for SINR calculation.</w:t>
      </w:r>
    </w:p>
    <w:p>
      <w:pPr>
        <w:pStyle w:val="32"/>
      </w:pPr>
      <w:r>
        <w:rPr>
          <w:lang w:eastAsia="ja-JP"/>
        </w:rPr>
        <w:t>-</w:t>
      </w:r>
      <w:r>
        <w:rPr>
          <w:lang w:eastAsia="ja-JP"/>
        </w:rPr>
        <w:tab/>
      </w:r>
      <w:r>
        <w:rPr>
          <w:lang w:eastAsia="ja-JP"/>
        </w:rPr>
        <w:t>Step 5: T</w:t>
      </w:r>
      <w:r>
        <w:t>hroughput</w:t>
      </w:r>
      <w:r>
        <w:rPr>
          <w:lang w:eastAsia="ja-JP"/>
        </w:rPr>
        <w:t xml:space="preserve"> is</w:t>
      </w:r>
      <w:r>
        <w:t xml:space="preserve"> computed considering ACI</w:t>
      </w:r>
      <w:r>
        <w:rPr>
          <w:lang w:eastAsia="ja-JP"/>
        </w:rPr>
        <w:t xml:space="preserve"> as below</w:t>
      </w:r>
      <w:r>
        <w:t>:</w:t>
      </w:r>
    </w:p>
    <w:p>
      <w:pPr>
        <w:pStyle w:val="39"/>
        <w:jc w:val="center"/>
      </w:pPr>
      <m:oMath>
        <m:sSub>
          <m:sSubPr>
            <m:ctrlPr>
              <w:rPr>
                <w:rFonts w:ascii="Cambria Math" w:hAnsi="Cambria Math"/>
                <w:i/>
                <w:iCs/>
              </w:rPr>
            </m:ctrlPr>
          </m:sSubPr>
          <m:e>
            <m:r>
              <m:rPr>
                <m:sty m:val="p"/>
              </m:rPr>
              <w:rPr>
                <w:rFonts w:ascii="Cambria Math" w:hAnsi="Cambria Math"/>
              </w:rPr>
              <m:t>Thput</m:t>
            </m:r>
            <m:ctrlPr>
              <w:rPr>
                <w:rFonts w:ascii="Cambria Math" w:hAnsi="Cambria Math"/>
                <w:i/>
                <w:iCs/>
              </w:rPr>
            </m:ctrlPr>
          </m:e>
          <m:sub>
            <m:r>
              <m:rPr>
                <m:sty m:val="p"/>
              </m:rPr>
              <w:rPr>
                <w:rFonts w:ascii="Cambria Math" w:hAnsi="Cambria Math"/>
              </w:rPr>
              <m:t>ACI</m:t>
            </m:r>
            <m:ctrlPr>
              <w:rPr>
                <w:rFonts w:ascii="Cambria Math" w:hAnsi="Cambria Math"/>
                <w:i/>
                <w:iCs/>
              </w:rPr>
            </m:ctrlPr>
          </m:sub>
        </m:sSub>
        <m:d>
          <m:dPr>
            <m:begChr m:val="["/>
            <m:endChr m:val="]"/>
            <m:ctrlPr>
              <w:rPr>
                <w:rFonts w:ascii="Cambria Math" w:hAnsi="Cambria Math"/>
                <w:i/>
                <w:iCs/>
              </w:rPr>
            </m:ctrlPr>
          </m:dPr>
          <m:e>
            <m:r>
              <m:rPr>
                <m:sty m:val="p"/>
              </m:rPr>
              <w:rPr>
                <w:rFonts w:ascii="Cambria Math" w:hAnsi="Cambria Math"/>
              </w:rPr>
              <m:t>bpshz</m:t>
            </m:r>
            <m:ctrlPr>
              <w:rPr>
                <w:rFonts w:ascii="Cambria Math" w:hAnsi="Cambria Math"/>
                <w:i/>
                <w:iCs/>
              </w:rPr>
            </m:ctrlP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ctrlPr>
                  <w:rPr>
                    <w:rFonts w:ascii="Cambria Math" w:hAnsi="Cambria Math"/>
                    <w:i/>
                    <w:iCs/>
                  </w:rPr>
                </m:ctrlPr>
              </m:e>
              <m:sub>
                <m:r>
                  <m:rPr>
                    <m:sty m:val="p"/>
                  </m:rPr>
                  <w:rPr>
                    <w:rFonts w:ascii="Cambria Math" w:hAnsi="Cambria Math"/>
                  </w:rPr>
                  <m:t>ICI+ACI</m:t>
                </m:r>
                <m:ctrlPr>
                  <w:rPr>
                    <w:rFonts w:ascii="Cambria Math" w:hAnsi="Cambria Math"/>
                    <w:i/>
                    <w:iCs/>
                  </w:rPr>
                </m:ctrlPr>
              </m:sub>
            </m:sSub>
            <m:ctrlPr>
              <w:rPr>
                <w:rFonts w:ascii="Cambria Math" w:hAnsi="Cambria Math"/>
                <w:i/>
                <w:iCs/>
              </w:rPr>
            </m:ctrlPr>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ctrlPr>
                  <w:rPr>
                    <w:rFonts w:ascii="Cambria Math" w:hAnsi="Cambria Math"/>
                    <w:i/>
                    <w:iCs/>
                  </w:rPr>
                </m:ctrlP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ICI</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ACI</m:t>
                    </m:r>
                    <m:ctrlPr>
                      <w:rPr>
                        <w:rFonts w:ascii="Cambria Math" w:hAnsi="Cambria Math"/>
                        <w:i/>
                        <w:iCs/>
                      </w:rPr>
                    </m:ctrlPr>
                  </m:sub>
                </m:sSub>
                <m:ctrlPr>
                  <w:rPr>
                    <w:rFonts w:ascii="Cambria Math" w:hAnsi="Cambria Math"/>
                    <w:i/>
                    <w:iCs/>
                  </w:rPr>
                </m:ctrlPr>
              </m:den>
            </m:f>
            <m:ctrlPr>
              <w:rPr>
                <w:rFonts w:ascii="Cambria Math" w:hAnsi="Cambria Math"/>
                <w:i/>
                <w:iCs/>
              </w:rPr>
            </m:ctrlPr>
          </m:e>
        </m:d>
      </m:oMath>
      <w:r>
        <w:t xml:space="preserve">, </w:t>
      </w:r>
    </w:p>
    <w:p>
      <w:pPr>
        <w:pStyle w:val="97"/>
      </w:pPr>
      <w:r>
        <w:t>where:</w:t>
      </w:r>
      <w:r>
        <w:tab/>
      </w:r>
      <w:r>
        <w:tab/>
      </w:r>
      <w:r>
        <w:tab/>
      </w:r>
      <m:oMath>
        <m:sSub>
          <m:sSubPr>
            <m:ctrlPr>
              <w:rPr>
                <w:rFonts w:ascii="Cambria Math" w:hAnsi="Cambria Math"/>
                <w:i/>
                <w:iCs/>
              </w:rPr>
            </m:ctrlPr>
          </m:sSubPr>
          <m:e>
            <m:r>
              <w:rPr>
                <w:rFonts w:ascii="Cambria Math" w:hAnsi="Cambria Math"/>
              </w:rPr>
              <m:t>I</m:t>
            </m:r>
            <m:ctrlPr>
              <w:rPr>
                <w:rFonts w:ascii="Cambria Math" w:hAnsi="Cambria Math"/>
                <w:i/>
                <w:iCs/>
              </w:rPr>
            </m:ctrlPr>
          </m:e>
          <m:sub>
            <m:r>
              <w:rPr>
                <w:rFonts w:ascii="Cambria Math" w:hAnsi="Cambria Math"/>
              </w:rPr>
              <m:t>ACI</m:t>
            </m:r>
            <m:ctrlPr>
              <w:rPr>
                <w:rFonts w:ascii="Cambria Math" w:hAnsi="Cambria Math"/>
                <w:i/>
                <w:iCs/>
              </w:rPr>
            </m:ctrlPr>
          </m:sub>
        </m:sSub>
      </m:oMath>
      <w:r>
        <w:t xml:space="preserve"> is the adjacent channel interference.</w:t>
      </w:r>
    </w:p>
    <w:p>
      <w:pPr>
        <w:pStyle w:val="32"/>
      </w:pPr>
      <w:r>
        <w:rPr>
          <w:lang w:eastAsia="ja-JP"/>
        </w:rPr>
        <w:t>-</w:t>
      </w:r>
      <w:r>
        <w:rPr>
          <w:lang w:eastAsia="ja-JP"/>
        </w:rPr>
        <w:tab/>
      </w:r>
      <w:r>
        <w:rPr>
          <w:lang w:eastAsia="ja-JP"/>
        </w:rPr>
        <w:t>Step 6: RF</w:t>
      </w:r>
      <w:r>
        <w:t xml:space="preserve"> parameters are determined based </w:t>
      </w:r>
      <w:r>
        <w:rPr>
          <w:lang w:eastAsia="ja-JP"/>
        </w:rPr>
        <w:t xml:space="preserve">on the </w:t>
      </w:r>
      <w:r>
        <w:t>degradation cause by ACI</w:t>
      </w:r>
      <w:r>
        <w:rPr>
          <w:lang w:eastAsia="ja-JP"/>
        </w:rPr>
        <w:t xml:space="preserve"> as below</w:t>
      </w:r>
      <w:r>
        <w:t>:</w:t>
      </w:r>
    </w:p>
    <w:p>
      <w:pPr>
        <w:pStyle w:val="39"/>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ctrlPr>
                <w:rPr>
                  <w:rFonts w:ascii="Cambria Math" w:hAnsi="Cambria Math"/>
                  <w:iCs/>
                </w:rPr>
              </m:ctrlPr>
            </m:e>
            <m:sub>
              <m: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r>
        <w:t xml:space="preserve">To simplify the simulation of interference from TN to NTN UL in Case 2 and 6, following method can be used. </w:t>
      </w:r>
      <w:r>
        <w:rPr>
          <w:lang w:eastAsia="ja-JP"/>
        </w:rPr>
        <w:t>Consider the active TN cells from central NTN beam for the ACI evaluation from TN to NTN UL.</w:t>
      </w:r>
      <w:r>
        <w:t xml:space="preserve"> </w:t>
      </w:r>
      <w:r>
        <w:rPr>
          <w:rFonts w:hint="eastAsia"/>
        </w:rPr>
        <w:t>T</w:t>
      </w:r>
      <w:r>
        <w:rPr>
          <w:lang w:eastAsia="ja-JP"/>
        </w:rPr>
        <w:t>he scaling factor is to be discussed and determined if any in next meeting. There is a view that simplifying such coexistence simulation work for Case 2 may even not be required.</w:t>
      </w:r>
    </w:p>
    <w:p>
      <w:pPr>
        <w:pStyle w:val="32"/>
      </w:pPr>
      <w:r>
        <w:rPr>
          <w:rFonts w:eastAsia="MS Mincho"/>
          <w:szCs w:val="24"/>
        </w:rPr>
        <w:t>-</w:t>
      </w:r>
      <w:r>
        <w:rPr>
          <w:rFonts w:eastAsia="MS Mincho"/>
          <w:szCs w:val="24"/>
        </w:rPr>
        <w:tab/>
      </w:r>
      <w:r>
        <w:rPr>
          <w:rFonts w:hint="eastAsia" w:eastAsia="MS Mincho"/>
          <w:szCs w:val="24"/>
        </w:rPr>
        <w:t>Step</w:t>
      </w:r>
      <w:r>
        <w:rPr>
          <w:rFonts w:hint="eastAsia"/>
          <w:bCs/>
        </w:rPr>
        <w:t xml:space="preserve"> 1</w:t>
      </w:r>
      <w:r>
        <w:rPr>
          <w:rFonts w:hint="eastAsia"/>
        </w:rPr>
        <w:t>: to drop NTN UE per beamprint randomly;</w:t>
      </w:r>
    </w:p>
    <w:p>
      <w:pPr>
        <w:pStyle w:val="32"/>
      </w:pPr>
      <w:r>
        <w:rPr>
          <w:rFonts w:hint="eastAsia"/>
          <w:bCs/>
        </w:rPr>
        <w:t>-</w:t>
      </w:r>
      <w:r>
        <w:rPr>
          <w:bCs/>
        </w:rPr>
        <w:tab/>
      </w:r>
      <w:r>
        <w:rPr>
          <w:rFonts w:hint="eastAsia"/>
          <w:bCs/>
        </w:rPr>
        <w:t>Step 2</w:t>
      </w:r>
      <w:r>
        <w:rPr>
          <w:rFonts w:hint="eastAsia"/>
        </w:rPr>
        <w:t xml:space="preserve">: to drop N </w:t>
      </w:r>
      <w:r>
        <w:t>clusters consisting of 57 sectors</w:t>
      </w:r>
      <w:r>
        <w:rPr>
          <w:rFonts w:hint="eastAsia"/>
        </w:rPr>
        <w:t xml:space="preserve"> per beamprint randomly:</w:t>
      </w:r>
    </w:p>
    <w:p>
      <w:pPr>
        <w:pStyle w:val="32"/>
      </w:pPr>
      <w:r>
        <w:rPr>
          <w:rFonts w:hint="eastAsia"/>
          <w:bCs/>
        </w:rPr>
        <w:t>-</w:t>
      </w:r>
      <w:r>
        <w:rPr>
          <w:bCs/>
        </w:rPr>
        <w:tab/>
      </w:r>
      <w:r>
        <w:rPr>
          <w:rFonts w:hint="eastAsia"/>
          <w:bCs/>
        </w:rPr>
        <w:t>Step</w:t>
      </w:r>
      <w:r>
        <w:rPr>
          <w:rFonts w:hint="eastAsia" w:eastAsia="MS Mincho"/>
          <w:bCs/>
        </w:rPr>
        <w:t xml:space="preserve"> 3</w:t>
      </w:r>
      <w:r>
        <w:rPr>
          <w:rFonts w:hint="eastAsia" w:eastAsia="MS Mincho"/>
        </w:rPr>
        <w:t xml:space="preserve">: to calculate the total ACI </w:t>
      </w:r>
      <w:r>
        <w:rPr>
          <w:rFonts w:hint="eastAsia" w:eastAsia="MS Mincho"/>
          <w:bCs/>
        </w:rPr>
        <w:t>per beam</w:t>
      </w:r>
      <w:r>
        <w:rPr>
          <w:rFonts w:hint="eastAsia" w:eastAsia="MS Mincho"/>
        </w:rPr>
        <w:t xml:space="preserve"> to NTN UL by following scaling factor:</w:t>
      </w:r>
    </w:p>
    <w:p>
      <w:pPr>
        <w:pStyle w:val="39"/>
        <w:jc w:val="center"/>
      </w:pPr>
      <w:r>
        <w:object>
          <v:shape id="_x0000_i1027" o:spt="75" type="#_x0000_t75" style="height:35.7pt;width:158.4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p>
    <w:p>
      <w:pPr>
        <w:pStyle w:val="97"/>
      </w:pPr>
      <w:r>
        <w:t>where</w:t>
      </w:r>
      <w:r>
        <w:rPr>
          <w:rFonts w:hint="eastAsia"/>
          <w:lang w:eastAsia="zh-CN"/>
        </w:rPr>
        <w:t>:</w:t>
      </w:r>
      <w:r>
        <w:rPr>
          <w:lang w:eastAsia="zh-CN"/>
        </w:rPr>
        <w:tab/>
      </w:r>
      <w:r>
        <w:rPr>
          <w:lang w:eastAsia="zh-CN"/>
        </w:rPr>
        <w:tab/>
      </w:r>
      <w:r>
        <w:rPr>
          <w:lang w:eastAsia="zh-CN"/>
        </w:rPr>
        <w:tab/>
      </w:r>
      <w:r>
        <w:t xml:space="preserve">active_TN = </w:t>
      </w:r>
      <w:r>
        <w:rPr>
          <w:b/>
        </w:rPr>
        <w:t>active_factor</w:t>
      </w:r>
      <w:r>
        <w:t xml:space="preserve">*round (the area per beam/the area of 57 sectors)       </w:t>
      </w:r>
    </w:p>
    <w:p>
      <w:pPr>
        <w:pStyle w:val="97"/>
        <w:ind w:left="1703" w:firstLine="1"/>
      </w:pPr>
      <w:r>
        <w:t>active_factor = 20% (or lower, particularly for urban scenarios)</w:t>
      </w:r>
    </w:p>
    <w:p>
      <w:pPr>
        <w:pStyle w:val="32"/>
      </w:pPr>
      <w:r>
        <w:rPr>
          <w:bCs/>
        </w:rPr>
        <w:t>-</w:t>
      </w:r>
      <w:r>
        <w:rPr>
          <w:bCs/>
        </w:rPr>
        <w:tab/>
      </w:r>
      <w:r>
        <w:rPr>
          <w:rFonts w:hint="eastAsia"/>
          <w:bCs/>
        </w:rPr>
        <w:t>Step 4</w:t>
      </w:r>
      <w:r>
        <w:rPr>
          <w:rFonts w:hint="eastAsia"/>
        </w:rPr>
        <w:t>: to calculate the total ACI from all beams (e.g. M=7 ) for NTN:</w:t>
      </w:r>
    </w:p>
    <w:p>
      <w:pPr>
        <w:pStyle w:val="39"/>
        <w:jc w:val="center"/>
        <w:rPr>
          <w:rFonts w:hint="eastAsia"/>
          <w:kern w:val="2"/>
          <w:sz w:val="21"/>
          <w:szCs w:val="24"/>
          <w:highlight w:val="none"/>
          <w:lang w:val="en-US" w:eastAsia="zh-CN" w:bidi="ar-SA"/>
        </w:rPr>
      </w:pPr>
      <w:r>
        <w:object>
          <v:shape id="_x0000_i1028" o:spt="75" type="#_x0000_t75" style="height:36.3pt;width:100.8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p>
    <w:p>
      <w:pPr>
        <w:numPr>
          <w:ilvl w:val="0"/>
          <w:numId w:val="0"/>
        </w:numPr>
        <w:rPr>
          <w:rFonts w:hint="eastAsia"/>
          <w:kern w:val="2"/>
          <w:sz w:val="21"/>
          <w:szCs w:val="24"/>
          <w:highlight w:val="none"/>
          <w:lang w:val="en-US" w:eastAsia="zh-CN" w:bidi="ar-SA"/>
        </w:rPr>
      </w:pPr>
    </w:p>
    <w:p>
      <w:pPr>
        <w:numPr>
          <w:ilvl w:val="0"/>
          <w:numId w:val="0"/>
        </w:numPr>
        <w:rPr>
          <w:rFonts w:hint="eastAsia"/>
          <w:kern w:val="2"/>
          <w:sz w:val="21"/>
          <w:szCs w:val="24"/>
          <w:highlight w:val="none"/>
          <w:lang w:val="en-US" w:eastAsia="zh-CN" w:bidi="ar-SA"/>
        </w:rPr>
      </w:pPr>
    </w:p>
    <w:p>
      <w:pPr>
        <w:numPr>
          <w:ilvl w:val="0"/>
          <w:numId w:val="0"/>
        </w:numPr>
        <w:rPr>
          <w:rFonts w:hint="eastAsia"/>
          <w:kern w:val="2"/>
          <w:sz w:val="21"/>
          <w:szCs w:val="24"/>
          <w:highlight w:val="none"/>
          <w:lang w:val="en-US" w:eastAsia="zh-CN" w:bidi="ar-SA"/>
        </w:rPr>
      </w:pPr>
    </w:p>
    <w:p>
      <w:pPr>
        <w:numPr>
          <w:ilvl w:val="0"/>
          <w:numId w:val="0"/>
        </w:numPr>
        <w:rPr>
          <w:rFonts w:hint="default"/>
          <w:kern w:val="2"/>
          <w:sz w:val="21"/>
          <w:szCs w:val="24"/>
          <w:highlight w:val="none"/>
          <w:lang w:val="en-US" w:eastAsia="zh-CN" w:bidi="ar-SA"/>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8FE9CD0"/>
    <w:multiLevelType w:val="singleLevel"/>
    <w:tmpl w:val="48FE9CD0"/>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D42"/>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376"/>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71"/>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1F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29E3"/>
    <w:rsid w:val="01133912"/>
    <w:rsid w:val="011747B7"/>
    <w:rsid w:val="01306365"/>
    <w:rsid w:val="01331C9B"/>
    <w:rsid w:val="01410E7A"/>
    <w:rsid w:val="014300FC"/>
    <w:rsid w:val="01442D89"/>
    <w:rsid w:val="01443D97"/>
    <w:rsid w:val="014E1E85"/>
    <w:rsid w:val="01544DD9"/>
    <w:rsid w:val="016800B9"/>
    <w:rsid w:val="01821D8F"/>
    <w:rsid w:val="018C2266"/>
    <w:rsid w:val="0195201D"/>
    <w:rsid w:val="01A22DBE"/>
    <w:rsid w:val="01A402CD"/>
    <w:rsid w:val="01A742A2"/>
    <w:rsid w:val="01B0077E"/>
    <w:rsid w:val="01B61CD7"/>
    <w:rsid w:val="01BE6ACE"/>
    <w:rsid w:val="01C32135"/>
    <w:rsid w:val="01CB7A2C"/>
    <w:rsid w:val="01CF0FCA"/>
    <w:rsid w:val="01D518FC"/>
    <w:rsid w:val="01E1598F"/>
    <w:rsid w:val="01F60577"/>
    <w:rsid w:val="021042F2"/>
    <w:rsid w:val="02111AA8"/>
    <w:rsid w:val="021D2604"/>
    <w:rsid w:val="02287F5E"/>
    <w:rsid w:val="022F664B"/>
    <w:rsid w:val="022F66E0"/>
    <w:rsid w:val="02366B4A"/>
    <w:rsid w:val="0238292F"/>
    <w:rsid w:val="024C13AB"/>
    <w:rsid w:val="025A02AD"/>
    <w:rsid w:val="02770F62"/>
    <w:rsid w:val="028748E0"/>
    <w:rsid w:val="029A491F"/>
    <w:rsid w:val="02B6644F"/>
    <w:rsid w:val="02CE3DD2"/>
    <w:rsid w:val="02DC6BBC"/>
    <w:rsid w:val="02DC755D"/>
    <w:rsid w:val="02E929C0"/>
    <w:rsid w:val="02F95CD1"/>
    <w:rsid w:val="030C3D33"/>
    <w:rsid w:val="03183DFF"/>
    <w:rsid w:val="031E4C95"/>
    <w:rsid w:val="032E4DBB"/>
    <w:rsid w:val="032F075C"/>
    <w:rsid w:val="03332CAE"/>
    <w:rsid w:val="03343BC7"/>
    <w:rsid w:val="033A153D"/>
    <w:rsid w:val="033F52A3"/>
    <w:rsid w:val="0354325C"/>
    <w:rsid w:val="036509A5"/>
    <w:rsid w:val="03651217"/>
    <w:rsid w:val="03687ADD"/>
    <w:rsid w:val="036A231E"/>
    <w:rsid w:val="03774924"/>
    <w:rsid w:val="03822F79"/>
    <w:rsid w:val="03857DEE"/>
    <w:rsid w:val="039B69FD"/>
    <w:rsid w:val="039F2D9F"/>
    <w:rsid w:val="03BE7E64"/>
    <w:rsid w:val="03C0647A"/>
    <w:rsid w:val="03D10D94"/>
    <w:rsid w:val="03D4427A"/>
    <w:rsid w:val="03DD224D"/>
    <w:rsid w:val="040F1457"/>
    <w:rsid w:val="041875C1"/>
    <w:rsid w:val="042515D4"/>
    <w:rsid w:val="04252816"/>
    <w:rsid w:val="04376B0F"/>
    <w:rsid w:val="0444783F"/>
    <w:rsid w:val="04752193"/>
    <w:rsid w:val="04786ED3"/>
    <w:rsid w:val="048829D4"/>
    <w:rsid w:val="0494170A"/>
    <w:rsid w:val="049A50A2"/>
    <w:rsid w:val="04C151E8"/>
    <w:rsid w:val="04D73B70"/>
    <w:rsid w:val="04E13254"/>
    <w:rsid w:val="051034CD"/>
    <w:rsid w:val="051E0337"/>
    <w:rsid w:val="05376CB1"/>
    <w:rsid w:val="053E1AC2"/>
    <w:rsid w:val="05571B51"/>
    <w:rsid w:val="05583DC1"/>
    <w:rsid w:val="0563042F"/>
    <w:rsid w:val="056578E0"/>
    <w:rsid w:val="05816D10"/>
    <w:rsid w:val="05930F73"/>
    <w:rsid w:val="05A6080C"/>
    <w:rsid w:val="05BD1DC4"/>
    <w:rsid w:val="05BE42A5"/>
    <w:rsid w:val="05C10A86"/>
    <w:rsid w:val="05C441F0"/>
    <w:rsid w:val="05C656D6"/>
    <w:rsid w:val="05CB123A"/>
    <w:rsid w:val="05D16BC6"/>
    <w:rsid w:val="05E24768"/>
    <w:rsid w:val="05EE3B4E"/>
    <w:rsid w:val="05F0259A"/>
    <w:rsid w:val="06043FC9"/>
    <w:rsid w:val="060C478E"/>
    <w:rsid w:val="060D249E"/>
    <w:rsid w:val="06252DC2"/>
    <w:rsid w:val="062A6800"/>
    <w:rsid w:val="064624E7"/>
    <w:rsid w:val="06474EFD"/>
    <w:rsid w:val="064A35EA"/>
    <w:rsid w:val="064B521E"/>
    <w:rsid w:val="064F4481"/>
    <w:rsid w:val="066856B7"/>
    <w:rsid w:val="067570AB"/>
    <w:rsid w:val="06836FEC"/>
    <w:rsid w:val="068523FB"/>
    <w:rsid w:val="06A32A23"/>
    <w:rsid w:val="06A55EB9"/>
    <w:rsid w:val="06B35378"/>
    <w:rsid w:val="06B548E2"/>
    <w:rsid w:val="06BA7F49"/>
    <w:rsid w:val="06BB4F9D"/>
    <w:rsid w:val="06C02DD5"/>
    <w:rsid w:val="06C87C9B"/>
    <w:rsid w:val="06F30672"/>
    <w:rsid w:val="06F35A7A"/>
    <w:rsid w:val="06F35AB6"/>
    <w:rsid w:val="06F50A8A"/>
    <w:rsid w:val="06F66B05"/>
    <w:rsid w:val="070307E1"/>
    <w:rsid w:val="072B7E46"/>
    <w:rsid w:val="072F2139"/>
    <w:rsid w:val="07436058"/>
    <w:rsid w:val="074E566F"/>
    <w:rsid w:val="074E6E1F"/>
    <w:rsid w:val="074F3DF9"/>
    <w:rsid w:val="07537C92"/>
    <w:rsid w:val="075670A4"/>
    <w:rsid w:val="076F3A71"/>
    <w:rsid w:val="077F542D"/>
    <w:rsid w:val="077F5D16"/>
    <w:rsid w:val="07817B19"/>
    <w:rsid w:val="07916BE4"/>
    <w:rsid w:val="07AA3E51"/>
    <w:rsid w:val="07B3020B"/>
    <w:rsid w:val="07DD018B"/>
    <w:rsid w:val="07E014BE"/>
    <w:rsid w:val="07E85751"/>
    <w:rsid w:val="07FF561E"/>
    <w:rsid w:val="07FF75C1"/>
    <w:rsid w:val="08196FCA"/>
    <w:rsid w:val="0828186A"/>
    <w:rsid w:val="0835476E"/>
    <w:rsid w:val="0836228E"/>
    <w:rsid w:val="085D6C7E"/>
    <w:rsid w:val="08611CAF"/>
    <w:rsid w:val="0865781A"/>
    <w:rsid w:val="0866133E"/>
    <w:rsid w:val="08704BCA"/>
    <w:rsid w:val="087E5560"/>
    <w:rsid w:val="08813C88"/>
    <w:rsid w:val="089852F1"/>
    <w:rsid w:val="089D6B7D"/>
    <w:rsid w:val="08B21918"/>
    <w:rsid w:val="08B9048F"/>
    <w:rsid w:val="08B94847"/>
    <w:rsid w:val="08C14001"/>
    <w:rsid w:val="08DC303B"/>
    <w:rsid w:val="08EE2B63"/>
    <w:rsid w:val="08FB1ABF"/>
    <w:rsid w:val="090F6D47"/>
    <w:rsid w:val="0935091B"/>
    <w:rsid w:val="0953050B"/>
    <w:rsid w:val="0958125A"/>
    <w:rsid w:val="09582472"/>
    <w:rsid w:val="096308E4"/>
    <w:rsid w:val="09693126"/>
    <w:rsid w:val="096B649C"/>
    <w:rsid w:val="096F1D52"/>
    <w:rsid w:val="09796C44"/>
    <w:rsid w:val="098344BC"/>
    <w:rsid w:val="099A2F16"/>
    <w:rsid w:val="099D21F0"/>
    <w:rsid w:val="09A64698"/>
    <w:rsid w:val="09A93B74"/>
    <w:rsid w:val="09AC5074"/>
    <w:rsid w:val="09AD07F3"/>
    <w:rsid w:val="09B14A34"/>
    <w:rsid w:val="09DC455F"/>
    <w:rsid w:val="0A093274"/>
    <w:rsid w:val="0A187426"/>
    <w:rsid w:val="0A1C5F10"/>
    <w:rsid w:val="0A2705E1"/>
    <w:rsid w:val="0A2A2D54"/>
    <w:rsid w:val="0A2A6A0B"/>
    <w:rsid w:val="0A312533"/>
    <w:rsid w:val="0A3A0D5D"/>
    <w:rsid w:val="0A5056C6"/>
    <w:rsid w:val="0A5060D6"/>
    <w:rsid w:val="0A620CFE"/>
    <w:rsid w:val="0A7200B0"/>
    <w:rsid w:val="0A771CA5"/>
    <w:rsid w:val="0A807B63"/>
    <w:rsid w:val="0A843B9D"/>
    <w:rsid w:val="0A8621F2"/>
    <w:rsid w:val="0A8F1F9F"/>
    <w:rsid w:val="0A9B6BF5"/>
    <w:rsid w:val="0AB16DC1"/>
    <w:rsid w:val="0AB329A9"/>
    <w:rsid w:val="0ACD4245"/>
    <w:rsid w:val="0AEA6E52"/>
    <w:rsid w:val="0B0135A0"/>
    <w:rsid w:val="0B110AC0"/>
    <w:rsid w:val="0B1157EF"/>
    <w:rsid w:val="0B166B19"/>
    <w:rsid w:val="0B1765E0"/>
    <w:rsid w:val="0B1C1D7C"/>
    <w:rsid w:val="0B22066E"/>
    <w:rsid w:val="0B2C7977"/>
    <w:rsid w:val="0B3F2432"/>
    <w:rsid w:val="0B437480"/>
    <w:rsid w:val="0B4D5218"/>
    <w:rsid w:val="0B4F1A6B"/>
    <w:rsid w:val="0B514F96"/>
    <w:rsid w:val="0B5B4CEE"/>
    <w:rsid w:val="0B622E13"/>
    <w:rsid w:val="0B68016D"/>
    <w:rsid w:val="0B717521"/>
    <w:rsid w:val="0B892782"/>
    <w:rsid w:val="0BAB1C77"/>
    <w:rsid w:val="0BB2460A"/>
    <w:rsid w:val="0BC33B2B"/>
    <w:rsid w:val="0BC739F0"/>
    <w:rsid w:val="0BCF286C"/>
    <w:rsid w:val="0BE17727"/>
    <w:rsid w:val="0BEF78DE"/>
    <w:rsid w:val="0BF427F9"/>
    <w:rsid w:val="0C0C632D"/>
    <w:rsid w:val="0C0F741A"/>
    <w:rsid w:val="0C1E222F"/>
    <w:rsid w:val="0C2F711F"/>
    <w:rsid w:val="0C3C0AB0"/>
    <w:rsid w:val="0C3C329C"/>
    <w:rsid w:val="0C404603"/>
    <w:rsid w:val="0C6038EF"/>
    <w:rsid w:val="0C654C73"/>
    <w:rsid w:val="0C707DD9"/>
    <w:rsid w:val="0C751214"/>
    <w:rsid w:val="0C780533"/>
    <w:rsid w:val="0C85742B"/>
    <w:rsid w:val="0C867428"/>
    <w:rsid w:val="0C873353"/>
    <w:rsid w:val="0C8B4B61"/>
    <w:rsid w:val="0CA246DB"/>
    <w:rsid w:val="0CA92BAC"/>
    <w:rsid w:val="0CB90F2E"/>
    <w:rsid w:val="0CC97566"/>
    <w:rsid w:val="0D04575D"/>
    <w:rsid w:val="0D0612B8"/>
    <w:rsid w:val="0D066A9C"/>
    <w:rsid w:val="0D0714BC"/>
    <w:rsid w:val="0D1A52C8"/>
    <w:rsid w:val="0D2767B5"/>
    <w:rsid w:val="0D2C20B3"/>
    <w:rsid w:val="0D425FCE"/>
    <w:rsid w:val="0D445E18"/>
    <w:rsid w:val="0D47118F"/>
    <w:rsid w:val="0D5800C7"/>
    <w:rsid w:val="0D6A353C"/>
    <w:rsid w:val="0D6F2C8D"/>
    <w:rsid w:val="0D7A3251"/>
    <w:rsid w:val="0D8B652E"/>
    <w:rsid w:val="0D8E6C0E"/>
    <w:rsid w:val="0D9A62C2"/>
    <w:rsid w:val="0D9B28BC"/>
    <w:rsid w:val="0DA060E8"/>
    <w:rsid w:val="0DAE41DA"/>
    <w:rsid w:val="0DCE36F3"/>
    <w:rsid w:val="0DD017D2"/>
    <w:rsid w:val="0DD621E4"/>
    <w:rsid w:val="0DDE1317"/>
    <w:rsid w:val="0E0313B1"/>
    <w:rsid w:val="0E0D1A47"/>
    <w:rsid w:val="0E217F4D"/>
    <w:rsid w:val="0E3217E8"/>
    <w:rsid w:val="0E5E246A"/>
    <w:rsid w:val="0E5E2B07"/>
    <w:rsid w:val="0E682353"/>
    <w:rsid w:val="0E725A4B"/>
    <w:rsid w:val="0E7375AA"/>
    <w:rsid w:val="0E771E51"/>
    <w:rsid w:val="0E8118C0"/>
    <w:rsid w:val="0EB34961"/>
    <w:rsid w:val="0EB930A5"/>
    <w:rsid w:val="0EBD51DE"/>
    <w:rsid w:val="0EC468A2"/>
    <w:rsid w:val="0ECE7C5F"/>
    <w:rsid w:val="0EDE5608"/>
    <w:rsid w:val="0EF75D05"/>
    <w:rsid w:val="0F12247A"/>
    <w:rsid w:val="0F1D0ECD"/>
    <w:rsid w:val="0F364BC2"/>
    <w:rsid w:val="0F3A630E"/>
    <w:rsid w:val="0F3B1C05"/>
    <w:rsid w:val="0F455F85"/>
    <w:rsid w:val="0F462E6F"/>
    <w:rsid w:val="0F49564D"/>
    <w:rsid w:val="0F4D1918"/>
    <w:rsid w:val="0F5075AE"/>
    <w:rsid w:val="0F521719"/>
    <w:rsid w:val="0F546B44"/>
    <w:rsid w:val="0F584757"/>
    <w:rsid w:val="0F6F64F1"/>
    <w:rsid w:val="0F785BCD"/>
    <w:rsid w:val="0F7C4621"/>
    <w:rsid w:val="0F80243B"/>
    <w:rsid w:val="0FA93791"/>
    <w:rsid w:val="0FA96CE6"/>
    <w:rsid w:val="0FAD0019"/>
    <w:rsid w:val="0FAD3299"/>
    <w:rsid w:val="0FAD5C53"/>
    <w:rsid w:val="0FB31343"/>
    <w:rsid w:val="0FC12836"/>
    <w:rsid w:val="0FC416E1"/>
    <w:rsid w:val="0FD820AF"/>
    <w:rsid w:val="0FD95333"/>
    <w:rsid w:val="0FE20310"/>
    <w:rsid w:val="0FEB2496"/>
    <w:rsid w:val="10045EE6"/>
    <w:rsid w:val="10077B84"/>
    <w:rsid w:val="102D1BC8"/>
    <w:rsid w:val="1038744E"/>
    <w:rsid w:val="103A7991"/>
    <w:rsid w:val="10462479"/>
    <w:rsid w:val="104B2D15"/>
    <w:rsid w:val="10674DB0"/>
    <w:rsid w:val="107348F0"/>
    <w:rsid w:val="107374A2"/>
    <w:rsid w:val="107C52DA"/>
    <w:rsid w:val="10886883"/>
    <w:rsid w:val="108A2129"/>
    <w:rsid w:val="108F1107"/>
    <w:rsid w:val="10924B2D"/>
    <w:rsid w:val="10953B42"/>
    <w:rsid w:val="109E3EFD"/>
    <w:rsid w:val="10B75DEF"/>
    <w:rsid w:val="10CB7244"/>
    <w:rsid w:val="10CC5735"/>
    <w:rsid w:val="10FA45D2"/>
    <w:rsid w:val="11024527"/>
    <w:rsid w:val="110A4489"/>
    <w:rsid w:val="111A28E5"/>
    <w:rsid w:val="111A5F1C"/>
    <w:rsid w:val="112F54D2"/>
    <w:rsid w:val="1133321C"/>
    <w:rsid w:val="113A095B"/>
    <w:rsid w:val="11576536"/>
    <w:rsid w:val="117824F0"/>
    <w:rsid w:val="117E2370"/>
    <w:rsid w:val="11903D4B"/>
    <w:rsid w:val="11A74ED8"/>
    <w:rsid w:val="11B66269"/>
    <w:rsid w:val="11BA0839"/>
    <w:rsid w:val="11C1095C"/>
    <w:rsid w:val="11C644D2"/>
    <w:rsid w:val="11C65B40"/>
    <w:rsid w:val="11D92746"/>
    <w:rsid w:val="11E8144E"/>
    <w:rsid w:val="11F267E8"/>
    <w:rsid w:val="11F45784"/>
    <w:rsid w:val="120430A0"/>
    <w:rsid w:val="1210456D"/>
    <w:rsid w:val="12110F97"/>
    <w:rsid w:val="121729B6"/>
    <w:rsid w:val="12290DA4"/>
    <w:rsid w:val="122C6138"/>
    <w:rsid w:val="12452498"/>
    <w:rsid w:val="125906DA"/>
    <w:rsid w:val="125A02CC"/>
    <w:rsid w:val="125A162C"/>
    <w:rsid w:val="12773339"/>
    <w:rsid w:val="12845278"/>
    <w:rsid w:val="128E70AD"/>
    <w:rsid w:val="12A80CD7"/>
    <w:rsid w:val="12AA5247"/>
    <w:rsid w:val="12B1068C"/>
    <w:rsid w:val="12C77089"/>
    <w:rsid w:val="12DD694C"/>
    <w:rsid w:val="12E27C16"/>
    <w:rsid w:val="12E53A1A"/>
    <w:rsid w:val="12E7732F"/>
    <w:rsid w:val="12E91EAB"/>
    <w:rsid w:val="12F538D3"/>
    <w:rsid w:val="12F85F0D"/>
    <w:rsid w:val="131046DE"/>
    <w:rsid w:val="131B2229"/>
    <w:rsid w:val="131D12BF"/>
    <w:rsid w:val="132625C2"/>
    <w:rsid w:val="132A7435"/>
    <w:rsid w:val="134B6B7B"/>
    <w:rsid w:val="13524F7C"/>
    <w:rsid w:val="136B2DD6"/>
    <w:rsid w:val="137F1B10"/>
    <w:rsid w:val="1382164E"/>
    <w:rsid w:val="13893FD3"/>
    <w:rsid w:val="13920FFC"/>
    <w:rsid w:val="13AB3B97"/>
    <w:rsid w:val="13B66BD2"/>
    <w:rsid w:val="13BF66BA"/>
    <w:rsid w:val="13CD1105"/>
    <w:rsid w:val="13DC36E2"/>
    <w:rsid w:val="13FD2FCF"/>
    <w:rsid w:val="13FE285E"/>
    <w:rsid w:val="141D4C97"/>
    <w:rsid w:val="14376920"/>
    <w:rsid w:val="14377712"/>
    <w:rsid w:val="14487346"/>
    <w:rsid w:val="144C6544"/>
    <w:rsid w:val="14812D74"/>
    <w:rsid w:val="14836C15"/>
    <w:rsid w:val="14862300"/>
    <w:rsid w:val="148E475F"/>
    <w:rsid w:val="14A0161D"/>
    <w:rsid w:val="14A745B2"/>
    <w:rsid w:val="14A82A63"/>
    <w:rsid w:val="14AC358C"/>
    <w:rsid w:val="14B76730"/>
    <w:rsid w:val="14C76321"/>
    <w:rsid w:val="14CC6990"/>
    <w:rsid w:val="14D82169"/>
    <w:rsid w:val="14DA1F29"/>
    <w:rsid w:val="14DE753E"/>
    <w:rsid w:val="15026553"/>
    <w:rsid w:val="151B0462"/>
    <w:rsid w:val="151C45D8"/>
    <w:rsid w:val="15290336"/>
    <w:rsid w:val="152C4206"/>
    <w:rsid w:val="154B0BD1"/>
    <w:rsid w:val="155B1745"/>
    <w:rsid w:val="155F651D"/>
    <w:rsid w:val="15615792"/>
    <w:rsid w:val="15655F19"/>
    <w:rsid w:val="157348EB"/>
    <w:rsid w:val="15787FE5"/>
    <w:rsid w:val="157E21FE"/>
    <w:rsid w:val="159C4624"/>
    <w:rsid w:val="15AA7A19"/>
    <w:rsid w:val="15AC5259"/>
    <w:rsid w:val="15B06B12"/>
    <w:rsid w:val="15B75E63"/>
    <w:rsid w:val="15BE3D9D"/>
    <w:rsid w:val="15D4474D"/>
    <w:rsid w:val="15D7597F"/>
    <w:rsid w:val="161148FF"/>
    <w:rsid w:val="161C3234"/>
    <w:rsid w:val="162C3673"/>
    <w:rsid w:val="1641433F"/>
    <w:rsid w:val="165C4863"/>
    <w:rsid w:val="1663476A"/>
    <w:rsid w:val="166C0D1B"/>
    <w:rsid w:val="167344C7"/>
    <w:rsid w:val="16785CC6"/>
    <w:rsid w:val="16794785"/>
    <w:rsid w:val="167E6B25"/>
    <w:rsid w:val="16857D28"/>
    <w:rsid w:val="168F7826"/>
    <w:rsid w:val="169F08E7"/>
    <w:rsid w:val="169F5699"/>
    <w:rsid w:val="16A65B92"/>
    <w:rsid w:val="16AD0A57"/>
    <w:rsid w:val="16BA18A0"/>
    <w:rsid w:val="16C41FCF"/>
    <w:rsid w:val="16D63217"/>
    <w:rsid w:val="16E7220A"/>
    <w:rsid w:val="16E828D5"/>
    <w:rsid w:val="170133DA"/>
    <w:rsid w:val="170259E1"/>
    <w:rsid w:val="170353FD"/>
    <w:rsid w:val="170A5A0F"/>
    <w:rsid w:val="170F5FA3"/>
    <w:rsid w:val="171053FC"/>
    <w:rsid w:val="171A04A8"/>
    <w:rsid w:val="17352CED"/>
    <w:rsid w:val="17360410"/>
    <w:rsid w:val="17382580"/>
    <w:rsid w:val="175E4288"/>
    <w:rsid w:val="17744B06"/>
    <w:rsid w:val="17844C56"/>
    <w:rsid w:val="178872FB"/>
    <w:rsid w:val="17923510"/>
    <w:rsid w:val="179620A9"/>
    <w:rsid w:val="17A30F12"/>
    <w:rsid w:val="17BA0091"/>
    <w:rsid w:val="17BA48D6"/>
    <w:rsid w:val="17D77CA7"/>
    <w:rsid w:val="17DD34AB"/>
    <w:rsid w:val="17E0275E"/>
    <w:rsid w:val="17FE0B0A"/>
    <w:rsid w:val="17FE0C9F"/>
    <w:rsid w:val="17FF3C9D"/>
    <w:rsid w:val="18143F33"/>
    <w:rsid w:val="181F32EB"/>
    <w:rsid w:val="18235E85"/>
    <w:rsid w:val="182E4C85"/>
    <w:rsid w:val="183D25D7"/>
    <w:rsid w:val="183E1C33"/>
    <w:rsid w:val="183E52C8"/>
    <w:rsid w:val="18582084"/>
    <w:rsid w:val="185962B1"/>
    <w:rsid w:val="18621A5F"/>
    <w:rsid w:val="18661865"/>
    <w:rsid w:val="187640ED"/>
    <w:rsid w:val="18764982"/>
    <w:rsid w:val="187705CC"/>
    <w:rsid w:val="18804AA7"/>
    <w:rsid w:val="1896376E"/>
    <w:rsid w:val="18A16B9A"/>
    <w:rsid w:val="18B417E1"/>
    <w:rsid w:val="18E872D7"/>
    <w:rsid w:val="18F931E6"/>
    <w:rsid w:val="18FA042B"/>
    <w:rsid w:val="18FE4771"/>
    <w:rsid w:val="19046384"/>
    <w:rsid w:val="190D3A33"/>
    <w:rsid w:val="19104EB5"/>
    <w:rsid w:val="191E45E3"/>
    <w:rsid w:val="19200B97"/>
    <w:rsid w:val="19236479"/>
    <w:rsid w:val="19267DCF"/>
    <w:rsid w:val="192A5704"/>
    <w:rsid w:val="192F0B98"/>
    <w:rsid w:val="193F4348"/>
    <w:rsid w:val="19435EAB"/>
    <w:rsid w:val="19537076"/>
    <w:rsid w:val="19560C00"/>
    <w:rsid w:val="19564B19"/>
    <w:rsid w:val="195F336A"/>
    <w:rsid w:val="196A0432"/>
    <w:rsid w:val="19720BF1"/>
    <w:rsid w:val="198250B7"/>
    <w:rsid w:val="198374F4"/>
    <w:rsid w:val="1989194D"/>
    <w:rsid w:val="19A42D0C"/>
    <w:rsid w:val="19A65A9F"/>
    <w:rsid w:val="19A7296F"/>
    <w:rsid w:val="19B94DE5"/>
    <w:rsid w:val="19BB7983"/>
    <w:rsid w:val="19CB713F"/>
    <w:rsid w:val="19D52159"/>
    <w:rsid w:val="19D76F77"/>
    <w:rsid w:val="19DE7440"/>
    <w:rsid w:val="19F300AD"/>
    <w:rsid w:val="19FB3286"/>
    <w:rsid w:val="1A004DC4"/>
    <w:rsid w:val="1A1C2D1C"/>
    <w:rsid w:val="1A445707"/>
    <w:rsid w:val="1A5F7253"/>
    <w:rsid w:val="1A725418"/>
    <w:rsid w:val="1A7A2EF9"/>
    <w:rsid w:val="1A7F4EDC"/>
    <w:rsid w:val="1A852188"/>
    <w:rsid w:val="1A960E81"/>
    <w:rsid w:val="1A9A0C93"/>
    <w:rsid w:val="1AB359A1"/>
    <w:rsid w:val="1ABD31B9"/>
    <w:rsid w:val="1AC501FA"/>
    <w:rsid w:val="1AC774BD"/>
    <w:rsid w:val="1ACE2A77"/>
    <w:rsid w:val="1ADA6731"/>
    <w:rsid w:val="1ADC2627"/>
    <w:rsid w:val="1AF34AE5"/>
    <w:rsid w:val="1AF84C8C"/>
    <w:rsid w:val="1AFE2079"/>
    <w:rsid w:val="1B00502A"/>
    <w:rsid w:val="1B012F04"/>
    <w:rsid w:val="1B0B3B20"/>
    <w:rsid w:val="1B1613A0"/>
    <w:rsid w:val="1B2A7E36"/>
    <w:rsid w:val="1B324397"/>
    <w:rsid w:val="1B372EB9"/>
    <w:rsid w:val="1B5114B3"/>
    <w:rsid w:val="1B513AC1"/>
    <w:rsid w:val="1B5D3106"/>
    <w:rsid w:val="1B613644"/>
    <w:rsid w:val="1B7567A5"/>
    <w:rsid w:val="1B7906CE"/>
    <w:rsid w:val="1B7B48C4"/>
    <w:rsid w:val="1B7D07F3"/>
    <w:rsid w:val="1B831B2B"/>
    <w:rsid w:val="1BA57F07"/>
    <w:rsid w:val="1BB843C7"/>
    <w:rsid w:val="1BB848C7"/>
    <w:rsid w:val="1BCF20E8"/>
    <w:rsid w:val="1BD91032"/>
    <w:rsid w:val="1BDA7509"/>
    <w:rsid w:val="1BE3376D"/>
    <w:rsid w:val="1C0142E9"/>
    <w:rsid w:val="1C0D60C9"/>
    <w:rsid w:val="1C0F16CD"/>
    <w:rsid w:val="1C1A1226"/>
    <w:rsid w:val="1C1D5530"/>
    <w:rsid w:val="1C2867D0"/>
    <w:rsid w:val="1C287EC8"/>
    <w:rsid w:val="1C33796F"/>
    <w:rsid w:val="1C4066DA"/>
    <w:rsid w:val="1C441419"/>
    <w:rsid w:val="1C490974"/>
    <w:rsid w:val="1C561E66"/>
    <w:rsid w:val="1C6D4144"/>
    <w:rsid w:val="1C793EB9"/>
    <w:rsid w:val="1C807142"/>
    <w:rsid w:val="1C9A166E"/>
    <w:rsid w:val="1CB26EC7"/>
    <w:rsid w:val="1CB702E9"/>
    <w:rsid w:val="1CBE5026"/>
    <w:rsid w:val="1CC62B3C"/>
    <w:rsid w:val="1CD448A4"/>
    <w:rsid w:val="1CDF1178"/>
    <w:rsid w:val="1CF333A5"/>
    <w:rsid w:val="1D0B731D"/>
    <w:rsid w:val="1D1A637D"/>
    <w:rsid w:val="1D1B7AB6"/>
    <w:rsid w:val="1D2054C4"/>
    <w:rsid w:val="1D394C5C"/>
    <w:rsid w:val="1D563E2F"/>
    <w:rsid w:val="1D6F79AF"/>
    <w:rsid w:val="1D70409D"/>
    <w:rsid w:val="1D774453"/>
    <w:rsid w:val="1D8F5B72"/>
    <w:rsid w:val="1D8F6826"/>
    <w:rsid w:val="1D9966AE"/>
    <w:rsid w:val="1D9C5DA0"/>
    <w:rsid w:val="1D9F462B"/>
    <w:rsid w:val="1DA265B5"/>
    <w:rsid w:val="1DB52D17"/>
    <w:rsid w:val="1DB57C23"/>
    <w:rsid w:val="1DBE56C2"/>
    <w:rsid w:val="1DD01738"/>
    <w:rsid w:val="1DD315DC"/>
    <w:rsid w:val="1DE11462"/>
    <w:rsid w:val="1DEC45ED"/>
    <w:rsid w:val="1E224747"/>
    <w:rsid w:val="1E3039BD"/>
    <w:rsid w:val="1E304B88"/>
    <w:rsid w:val="1E3468B5"/>
    <w:rsid w:val="1E3E02E7"/>
    <w:rsid w:val="1E4B4FBC"/>
    <w:rsid w:val="1E595E59"/>
    <w:rsid w:val="1E626388"/>
    <w:rsid w:val="1E680B85"/>
    <w:rsid w:val="1E904AE0"/>
    <w:rsid w:val="1E9D55A8"/>
    <w:rsid w:val="1EA13E87"/>
    <w:rsid w:val="1EA20257"/>
    <w:rsid w:val="1EC11B39"/>
    <w:rsid w:val="1ED94E25"/>
    <w:rsid w:val="1EDB6C5F"/>
    <w:rsid w:val="1EE6740D"/>
    <w:rsid w:val="1EFA17C6"/>
    <w:rsid w:val="1F12618D"/>
    <w:rsid w:val="1F141EF2"/>
    <w:rsid w:val="1F2E0757"/>
    <w:rsid w:val="1F3C6AF7"/>
    <w:rsid w:val="1F405E44"/>
    <w:rsid w:val="1F43792F"/>
    <w:rsid w:val="1F4E681F"/>
    <w:rsid w:val="1F5324C1"/>
    <w:rsid w:val="1F5914BB"/>
    <w:rsid w:val="1F5C60B0"/>
    <w:rsid w:val="1F6007A2"/>
    <w:rsid w:val="1F6833F6"/>
    <w:rsid w:val="1F7959F4"/>
    <w:rsid w:val="1F7C19E4"/>
    <w:rsid w:val="1F80701B"/>
    <w:rsid w:val="1F83562C"/>
    <w:rsid w:val="1F897A19"/>
    <w:rsid w:val="1F925D84"/>
    <w:rsid w:val="1F98282B"/>
    <w:rsid w:val="1FA21D33"/>
    <w:rsid w:val="1FAC7267"/>
    <w:rsid w:val="1FB53A2A"/>
    <w:rsid w:val="1FBD7AAE"/>
    <w:rsid w:val="1FBE77B2"/>
    <w:rsid w:val="1FC26AB9"/>
    <w:rsid w:val="1FC848E0"/>
    <w:rsid w:val="1FCC513E"/>
    <w:rsid w:val="1FE91483"/>
    <w:rsid w:val="1FED166B"/>
    <w:rsid w:val="2000119F"/>
    <w:rsid w:val="200A61C8"/>
    <w:rsid w:val="201359DF"/>
    <w:rsid w:val="201529E4"/>
    <w:rsid w:val="201C304F"/>
    <w:rsid w:val="20287FDF"/>
    <w:rsid w:val="203B1416"/>
    <w:rsid w:val="203C2005"/>
    <w:rsid w:val="204D7AED"/>
    <w:rsid w:val="204F595B"/>
    <w:rsid w:val="20550723"/>
    <w:rsid w:val="205D7F49"/>
    <w:rsid w:val="206301A7"/>
    <w:rsid w:val="20642E89"/>
    <w:rsid w:val="206F7CD5"/>
    <w:rsid w:val="207004A0"/>
    <w:rsid w:val="20722515"/>
    <w:rsid w:val="20934FE0"/>
    <w:rsid w:val="209A17A4"/>
    <w:rsid w:val="20A70ABE"/>
    <w:rsid w:val="20B836F9"/>
    <w:rsid w:val="20C10077"/>
    <w:rsid w:val="20C261C8"/>
    <w:rsid w:val="20C96FD1"/>
    <w:rsid w:val="20D562D7"/>
    <w:rsid w:val="20E35BDE"/>
    <w:rsid w:val="20E9348D"/>
    <w:rsid w:val="20F667B9"/>
    <w:rsid w:val="210D2CDA"/>
    <w:rsid w:val="212B41B7"/>
    <w:rsid w:val="212C33D3"/>
    <w:rsid w:val="212F6A59"/>
    <w:rsid w:val="21306305"/>
    <w:rsid w:val="213C378F"/>
    <w:rsid w:val="213D54AD"/>
    <w:rsid w:val="214169BB"/>
    <w:rsid w:val="214E31F9"/>
    <w:rsid w:val="215425D1"/>
    <w:rsid w:val="21724929"/>
    <w:rsid w:val="217C7971"/>
    <w:rsid w:val="217D44BC"/>
    <w:rsid w:val="21997056"/>
    <w:rsid w:val="219D3F2A"/>
    <w:rsid w:val="21AB77F7"/>
    <w:rsid w:val="21AE6C58"/>
    <w:rsid w:val="21BF03BC"/>
    <w:rsid w:val="21C1419B"/>
    <w:rsid w:val="21CC0944"/>
    <w:rsid w:val="21CD37CB"/>
    <w:rsid w:val="21D06D34"/>
    <w:rsid w:val="21D52CEC"/>
    <w:rsid w:val="21D86FB1"/>
    <w:rsid w:val="21E66660"/>
    <w:rsid w:val="21EA4F78"/>
    <w:rsid w:val="2209399D"/>
    <w:rsid w:val="22101F8E"/>
    <w:rsid w:val="2225227E"/>
    <w:rsid w:val="223075F3"/>
    <w:rsid w:val="22452734"/>
    <w:rsid w:val="224B6D62"/>
    <w:rsid w:val="224E74D0"/>
    <w:rsid w:val="226520C8"/>
    <w:rsid w:val="22770FC7"/>
    <w:rsid w:val="22817C86"/>
    <w:rsid w:val="228A008B"/>
    <w:rsid w:val="229A7E25"/>
    <w:rsid w:val="22B059F5"/>
    <w:rsid w:val="22BD504B"/>
    <w:rsid w:val="22BD60DA"/>
    <w:rsid w:val="22D61781"/>
    <w:rsid w:val="22F017B2"/>
    <w:rsid w:val="22F90289"/>
    <w:rsid w:val="230645D6"/>
    <w:rsid w:val="230B07F6"/>
    <w:rsid w:val="2313636D"/>
    <w:rsid w:val="23143B37"/>
    <w:rsid w:val="231637F9"/>
    <w:rsid w:val="2320703D"/>
    <w:rsid w:val="23230E78"/>
    <w:rsid w:val="23277DED"/>
    <w:rsid w:val="2329409B"/>
    <w:rsid w:val="233027B0"/>
    <w:rsid w:val="23415924"/>
    <w:rsid w:val="23432D98"/>
    <w:rsid w:val="23582AD5"/>
    <w:rsid w:val="235924CA"/>
    <w:rsid w:val="23611F45"/>
    <w:rsid w:val="2377192B"/>
    <w:rsid w:val="237B7D6C"/>
    <w:rsid w:val="238755B6"/>
    <w:rsid w:val="239130F2"/>
    <w:rsid w:val="239B728F"/>
    <w:rsid w:val="23A00DDA"/>
    <w:rsid w:val="23A77EB0"/>
    <w:rsid w:val="23BD6F6C"/>
    <w:rsid w:val="23C80F4A"/>
    <w:rsid w:val="23D33566"/>
    <w:rsid w:val="23D9762E"/>
    <w:rsid w:val="23E014C7"/>
    <w:rsid w:val="23EF2246"/>
    <w:rsid w:val="24137B5B"/>
    <w:rsid w:val="24176341"/>
    <w:rsid w:val="24211333"/>
    <w:rsid w:val="242461D7"/>
    <w:rsid w:val="242C04D9"/>
    <w:rsid w:val="242E2FF6"/>
    <w:rsid w:val="242E7ECB"/>
    <w:rsid w:val="244764A4"/>
    <w:rsid w:val="244F2484"/>
    <w:rsid w:val="24574CEB"/>
    <w:rsid w:val="245D41D2"/>
    <w:rsid w:val="24667266"/>
    <w:rsid w:val="246C599B"/>
    <w:rsid w:val="24731A96"/>
    <w:rsid w:val="24770A77"/>
    <w:rsid w:val="24791E36"/>
    <w:rsid w:val="247A1D17"/>
    <w:rsid w:val="247A5C3A"/>
    <w:rsid w:val="247D6403"/>
    <w:rsid w:val="24851471"/>
    <w:rsid w:val="248907B2"/>
    <w:rsid w:val="2499398D"/>
    <w:rsid w:val="249A5E20"/>
    <w:rsid w:val="249C2676"/>
    <w:rsid w:val="249C6208"/>
    <w:rsid w:val="249E6A8E"/>
    <w:rsid w:val="24AD4846"/>
    <w:rsid w:val="24BD38BA"/>
    <w:rsid w:val="252053F9"/>
    <w:rsid w:val="25375D52"/>
    <w:rsid w:val="25441460"/>
    <w:rsid w:val="25467DBB"/>
    <w:rsid w:val="25473E3C"/>
    <w:rsid w:val="255E7988"/>
    <w:rsid w:val="256343AC"/>
    <w:rsid w:val="25645268"/>
    <w:rsid w:val="25667C64"/>
    <w:rsid w:val="25762163"/>
    <w:rsid w:val="257F18B5"/>
    <w:rsid w:val="25805FF5"/>
    <w:rsid w:val="258F15BB"/>
    <w:rsid w:val="259231BD"/>
    <w:rsid w:val="259B1A5B"/>
    <w:rsid w:val="25A77DD4"/>
    <w:rsid w:val="25B1104C"/>
    <w:rsid w:val="25C2445C"/>
    <w:rsid w:val="25E86A14"/>
    <w:rsid w:val="260B255C"/>
    <w:rsid w:val="26217848"/>
    <w:rsid w:val="2623781F"/>
    <w:rsid w:val="262C5AB1"/>
    <w:rsid w:val="262E20E8"/>
    <w:rsid w:val="2640682F"/>
    <w:rsid w:val="26424215"/>
    <w:rsid w:val="26492700"/>
    <w:rsid w:val="26510DB8"/>
    <w:rsid w:val="26667EB2"/>
    <w:rsid w:val="266B1FB8"/>
    <w:rsid w:val="266E4B30"/>
    <w:rsid w:val="26724E2D"/>
    <w:rsid w:val="267E518B"/>
    <w:rsid w:val="26817B7C"/>
    <w:rsid w:val="26872779"/>
    <w:rsid w:val="2687527E"/>
    <w:rsid w:val="268A2E9D"/>
    <w:rsid w:val="269B3F13"/>
    <w:rsid w:val="26A4288C"/>
    <w:rsid w:val="26B47DF5"/>
    <w:rsid w:val="26BA188E"/>
    <w:rsid w:val="26C36DE5"/>
    <w:rsid w:val="26E430BF"/>
    <w:rsid w:val="26EF7250"/>
    <w:rsid w:val="26F24BA7"/>
    <w:rsid w:val="26F40E3F"/>
    <w:rsid w:val="26F40EBD"/>
    <w:rsid w:val="27156720"/>
    <w:rsid w:val="271B73E8"/>
    <w:rsid w:val="272A3F42"/>
    <w:rsid w:val="27367540"/>
    <w:rsid w:val="27454ADE"/>
    <w:rsid w:val="274A7B1A"/>
    <w:rsid w:val="274B31A3"/>
    <w:rsid w:val="27535406"/>
    <w:rsid w:val="275439E1"/>
    <w:rsid w:val="2757788C"/>
    <w:rsid w:val="27622E79"/>
    <w:rsid w:val="276320D7"/>
    <w:rsid w:val="276B7652"/>
    <w:rsid w:val="27753365"/>
    <w:rsid w:val="27826CDD"/>
    <w:rsid w:val="279408D2"/>
    <w:rsid w:val="27AB4954"/>
    <w:rsid w:val="27B02558"/>
    <w:rsid w:val="27B7576A"/>
    <w:rsid w:val="27B91021"/>
    <w:rsid w:val="27C06D17"/>
    <w:rsid w:val="27CA066C"/>
    <w:rsid w:val="27E414A5"/>
    <w:rsid w:val="27F02A4D"/>
    <w:rsid w:val="280008FF"/>
    <w:rsid w:val="28050D91"/>
    <w:rsid w:val="281035C6"/>
    <w:rsid w:val="28255041"/>
    <w:rsid w:val="282612E1"/>
    <w:rsid w:val="282C3DEB"/>
    <w:rsid w:val="283A1E3E"/>
    <w:rsid w:val="284543A1"/>
    <w:rsid w:val="28553E1D"/>
    <w:rsid w:val="287C7403"/>
    <w:rsid w:val="28821314"/>
    <w:rsid w:val="28A756D8"/>
    <w:rsid w:val="28AD2029"/>
    <w:rsid w:val="28AF05B1"/>
    <w:rsid w:val="28BA3C96"/>
    <w:rsid w:val="28BC1F25"/>
    <w:rsid w:val="28C57D5D"/>
    <w:rsid w:val="28DB0A30"/>
    <w:rsid w:val="28F95F71"/>
    <w:rsid w:val="291712DF"/>
    <w:rsid w:val="29192BE8"/>
    <w:rsid w:val="292A3025"/>
    <w:rsid w:val="292A375F"/>
    <w:rsid w:val="29311314"/>
    <w:rsid w:val="29316984"/>
    <w:rsid w:val="2938092A"/>
    <w:rsid w:val="293966D9"/>
    <w:rsid w:val="2939696A"/>
    <w:rsid w:val="2946144E"/>
    <w:rsid w:val="294A5BC8"/>
    <w:rsid w:val="297D4D00"/>
    <w:rsid w:val="297E1947"/>
    <w:rsid w:val="297F09DE"/>
    <w:rsid w:val="29886998"/>
    <w:rsid w:val="298E034A"/>
    <w:rsid w:val="29981CF5"/>
    <w:rsid w:val="29A4634A"/>
    <w:rsid w:val="29A84DD1"/>
    <w:rsid w:val="29CD2270"/>
    <w:rsid w:val="29D14DB2"/>
    <w:rsid w:val="29EB2226"/>
    <w:rsid w:val="29EB2636"/>
    <w:rsid w:val="29F05AB1"/>
    <w:rsid w:val="29F26903"/>
    <w:rsid w:val="2A016C34"/>
    <w:rsid w:val="2A0B58C8"/>
    <w:rsid w:val="2A1A0A5F"/>
    <w:rsid w:val="2A205794"/>
    <w:rsid w:val="2A312BD2"/>
    <w:rsid w:val="2A3B063B"/>
    <w:rsid w:val="2A49761F"/>
    <w:rsid w:val="2A5654F3"/>
    <w:rsid w:val="2A630308"/>
    <w:rsid w:val="2A676AD0"/>
    <w:rsid w:val="2A687AA6"/>
    <w:rsid w:val="2A770CC7"/>
    <w:rsid w:val="2A894A3C"/>
    <w:rsid w:val="2A9A66D4"/>
    <w:rsid w:val="2AAC36BD"/>
    <w:rsid w:val="2AB04937"/>
    <w:rsid w:val="2AC63E62"/>
    <w:rsid w:val="2ACF5AEC"/>
    <w:rsid w:val="2AD62AB0"/>
    <w:rsid w:val="2ADE1583"/>
    <w:rsid w:val="2AE70523"/>
    <w:rsid w:val="2B1730AF"/>
    <w:rsid w:val="2B2D1363"/>
    <w:rsid w:val="2B42025A"/>
    <w:rsid w:val="2B450516"/>
    <w:rsid w:val="2B4659F4"/>
    <w:rsid w:val="2B592A46"/>
    <w:rsid w:val="2B597EE7"/>
    <w:rsid w:val="2B686C09"/>
    <w:rsid w:val="2B6B7E5F"/>
    <w:rsid w:val="2B8B34AB"/>
    <w:rsid w:val="2B914C5E"/>
    <w:rsid w:val="2B974FFD"/>
    <w:rsid w:val="2BB44220"/>
    <w:rsid w:val="2BB61EA7"/>
    <w:rsid w:val="2BBA6EF5"/>
    <w:rsid w:val="2BC03979"/>
    <w:rsid w:val="2BDE75F7"/>
    <w:rsid w:val="2BE9588D"/>
    <w:rsid w:val="2BEC4F7F"/>
    <w:rsid w:val="2C012836"/>
    <w:rsid w:val="2C11705A"/>
    <w:rsid w:val="2C1216FD"/>
    <w:rsid w:val="2C1F2C4F"/>
    <w:rsid w:val="2C3D3430"/>
    <w:rsid w:val="2C5514C6"/>
    <w:rsid w:val="2C5C2032"/>
    <w:rsid w:val="2C72088D"/>
    <w:rsid w:val="2C7C6F5F"/>
    <w:rsid w:val="2C7D6665"/>
    <w:rsid w:val="2C865A05"/>
    <w:rsid w:val="2C8B0557"/>
    <w:rsid w:val="2C974658"/>
    <w:rsid w:val="2CAA75FE"/>
    <w:rsid w:val="2CBC4209"/>
    <w:rsid w:val="2CDC7091"/>
    <w:rsid w:val="2CE02035"/>
    <w:rsid w:val="2CE71ADE"/>
    <w:rsid w:val="2CF5280F"/>
    <w:rsid w:val="2D0B5D0E"/>
    <w:rsid w:val="2D0E231B"/>
    <w:rsid w:val="2D0F5357"/>
    <w:rsid w:val="2D1A1A6B"/>
    <w:rsid w:val="2D1A4915"/>
    <w:rsid w:val="2D2E7DAF"/>
    <w:rsid w:val="2D400A9F"/>
    <w:rsid w:val="2D41790C"/>
    <w:rsid w:val="2D492622"/>
    <w:rsid w:val="2D5B46E0"/>
    <w:rsid w:val="2D78292D"/>
    <w:rsid w:val="2D8D73C8"/>
    <w:rsid w:val="2DBF0C3E"/>
    <w:rsid w:val="2DBF1601"/>
    <w:rsid w:val="2DBF4C3A"/>
    <w:rsid w:val="2DE653DD"/>
    <w:rsid w:val="2DEE7728"/>
    <w:rsid w:val="2DF04CFF"/>
    <w:rsid w:val="2DF45031"/>
    <w:rsid w:val="2DF6091F"/>
    <w:rsid w:val="2DF77C3F"/>
    <w:rsid w:val="2DF94438"/>
    <w:rsid w:val="2DFA6574"/>
    <w:rsid w:val="2E040A80"/>
    <w:rsid w:val="2E095C19"/>
    <w:rsid w:val="2E0F3A78"/>
    <w:rsid w:val="2E1530A6"/>
    <w:rsid w:val="2E190FE7"/>
    <w:rsid w:val="2E1C45B9"/>
    <w:rsid w:val="2E2630D7"/>
    <w:rsid w:val="2E2806DD"/>
    <w:rsid w:val="2E2933D6"/>
    <w:rsid w:val="2E2A4425"/>
    <w:rsid w:val="2E705752"/>
    <w:rsid w:val="2E9A710B"/>
    <w:rsid w:val="2E9E1981"/>
    <w:rsid w:val="2EA26ABE"/>
    <w:rsid w:val="2EB61295"/>
    <w:rsid w:val="2EC551E0"/>
    <w:rsid w:val="2EE73C9A"/>
    <w:rsid w:val="2EE82A8D"/>
    <w:rsid w:val="2EEA307E"/>
    <w:rsid w:val="2EF53C20"/>
    <w:rsid w:val="2EFC5DDD"/>
    <w:rsid w:val="2F002CCF"/>
    <w:rsid w:val="2F0160A3"/>
    <w:rsid w:val="2F0369A7"/>
    <w:rsid w:val="2F10109A"/>
    <w:rsid w:val="2F131005"/>
    <w:rsid w:val="2F1321E2"/>
    <w:rsid w:val="2F2960CC"/>
    <w:rsid w:val="2F2C4B1B"/>
    <w:rsid w:val="2F2F3D52"/>
    <w:rsid w:val="2F3B7B8B"/>
    <w:rsid w:val="2F413FCC"/>
    <w:rsid w:val="2F5E0EC6"/>
    <w:rsid w:val="2F805714"/>
    <w:rsid w:val="2F8A44C8"/>
    <w:rsid w:val="2FA050DF"/>
    <w:rsid w:val="2FA21231"/>
    <w:rsid w:val="2FA77032"/>
    <w:rsid w:val="2FAD4759"/>
    <w:rsid w:val="2FB6436D"/>
    <w:rsid w:val="2FB874A3"/>
    <w:rsid w:val="2FC764B6"/>
    <w:rsid w:val="2FCA0967"/>
    <w:rsid w:val="2FD63575"/>
    <w:rsid w:val="2FDC5DED"/>
    <w:rsid w:val="2FF117AD"/>
    <w:rsid w:val="2FF46AA2"/>
    <w:rsid w:val="2FF95633"/>
    <w:rsid w:val="300F7F13"/>
    <w:rsid w:val="301E3C00"/>
    <w:rsid w:val="302F745A"/>
    <w:rsid w:val="30500A5C"/>
    <w:rsid w:val="30712F53"/>
    <w:rsid w:val="30752E77"/>
    <w:rsid w:val="307D3C8C"/>
    <w:rsid w:val="308C68FD"/>
    <w:rsid w:val="3090288F"/>
    <w:rsid w:val="309B0CFB"/>
    <w:rsid w:val="309E4272"/>
    <w:rsid w:val="309F3DE8"/>
    <w:rsid w:val="30B507CA"/>
    <w:rsid w:val="30CB7033"/>
    <w:rsid w:val="30D70419"/>
    <w:rsid w:val="30DC45E8"/>
    <w:rsid w:val="30DD6027"/>
    <w:rsid w:val="30DE16AB"/>
    <w:rsid w:val="30E006B8"/>
    <w:rsid w:val="30E606B0"/>
    <w:rsid w:val="30F44A95"/>
    <w:rsid w:val="30FA21D8"/>
    <w:rsid w:val="310008EF"/>
    <w:rsid w:val="311D5B14"/>
    <w:rsid w:val="313C405C"/>
    <w:rsid w:val="316340CC"/>
    <w:rsid w:val="31647576"/>
    <w:rsid w:val="31665E5D"/>
    <w:rsid w:val="316D6950"/>
    <w:rsid w:val="31822EAF"/>
    <w:rsid w:val="31824C36"/>
    <w:rsid w:val="31A53A0B"/>
    <w:rsid w:val="31A561CB"/>
    <w:rsid w:val="31A62C67"/>
    <w:rsid w:val="31B23BA8"/>
    <w:rsid w:val="31CA5CF8"/>
    <w:rsid w:val="31CB26CD"/>
    <w:rsid w:val="31CD0EA2"/>
    <w:rsid w:val="31D06A52"/>
    <w:rsid w:val="31EC5343"/>
    <w:rsid w:val="31F20023"/>
    <w:rsid w:val="31FB60C5"/>
    <w:rsid w:val="321F6776"/>
    <w:rsid w:val="32225D9C"/>
    <w:rsid w:val="32226597"/>
    <w:rsid w:val="324968A9"/>
    <w:rsid w:val="324A0D94"/>
    <w:rsid w:val="32705105"/>
    <w:rsid w:val="327E6AD8"/>
    <w:rsid w:val="32946A84"/>
    <w:rsid w:val="329C7674"/>
    <w:rsid w:val="32B63BDE"/>
    <w:rsid w:val="32BC6631"/>
    <w:rsid w:val="32CD5F37"/>
    <w:rsid w:val="32D14A7F"/>
    <w:rsid w:val="32D967AA"/>
    <w:rsid w:val="32E370FB"/>
    <w:rsid w:val="32F86450"/>
    <w:rsid w:val="330244A4"/>
    <w:rsid w:val="331C390F"/>
    <w:rsid w:val="333A7406"/>
    <w:rsid w:val="33606503"/>
    <w:rsid w:val="33610DDA"/>
    <w:rsid w:val="336A6E09"/>
    <w:rsid w:val="33767D1F"/>
    <w:rsid w:val="337F446B"/>
    <w:rsid w:val="33A156DE"/>
    <w:rsid w:val="33B70359"/>
    <w:rsid w:val="33BA1B32"/>
    <w:rsid w:val="33C30B28"/>
    <w:rsid w:val="33E20DF0"/>
    <w:rsid w:val="33EE7C66"/>
    <w:rsid w:val="34087429"/>
    <w:rsid w:val="340A1E27"/>
    <w:rsid w:val="341315B5"/>
    <w:rsid w:val="34147AA7"/>
    <w:rsid w:val="342D3CE2"/>
    <w:rsid w:val="34306F2A"/>
    <w:rsid w:val="34347DC5"/>
    <w:rsid w:val="343B6293"/>
    <w:rsid w:val="34463967"/>
    <w:rsid w:val="344D12EE"/>
    <w:rsid w:val="345543D1"/>
    <w:rsid w:val="345A7367"/>
    <w:rsid w:val="345D2CD0"/>
    <w:rsid w:val="346C0AEA"/>
    <w:rsid w:val="347B4682"/>
    <w:rsid w:val="347F540F"/>
    <w:rsid w:val="34846B2B"/>
    <w:rsid w:val="349A0B7D"/>
    <w:rsid w:val="34A22FD2"/>
    <w:rsid w:val="34AD7FEE"/>
    <w:rsid w:val="34B51A96"/>
    <w:rsid w:val="34DB0CAC"/>
    <w:rsid w:val="34E972FC"/>
    <w:rsid w:val="34EB0B78"/>
    <w:rsid w:val="34FF2166"/>
    <w:rsid w:val="35121D8D"/>
    <w:rsid w:val="35333FF2"/>
    <w:rsid w:val="35373169"/>
    <w:rsid w:val="353E791E"/>
    <w:rsid w:val="354008AB"/>
    <w:rsid w:val="354C7B38"/>
    <w:rsid w:val="354F28B8"/>
    <w:rsid w:val="35502A18"/>
    <w:rsid w:val="355D687A"/>
    <w:rsid w:val="35654D30"/>
    <w:rsid w:val="356D58B9"/>
    <w:rsid w:val="35744059"/>
    <w:rsid w:val="35757167"/>
    <w:rsid w:val="35771AC2"/>
    <w:rsid w:val="357960B4"/>
    <w:rsid w:val="357B47F4"/>
    <w:rsid w:val="357C4581"/>
    <w:rsid w:val="3581637B"/>
    <w:rsid w:val="35987C6F"/>
    <w:rsid w:val="35994F23"/>
    <w:rsid w:val="35A0338E"/>
    <w:rsid w:val="35A31A0A"/>
    <w:rsid w:val="35AB5D7D"/>
    <w:rsid w:val="35C154C0"/>
    <w:rsid w:val="35C7584B"/>
    <w:rsid w:val="35D01AEB"/>
    <w:rsid w:val="35D535F5"/>
    <w:rsid w:val="35DD2AEE"/>
    <w:rsid w:val="35E45BE2"/>
    <w:rsid w:val="35EA6509"/>
    <w:rsid w:val="35EF12DC"/>
    <w:rsid w:val="35F44E5C"/>
    <w:rsid w:val="35F45994"/>
    <w:rsid w:val="3602050E"/>
    <w:rsid w:val="36101A49"/>
    <w:rsid w:val="361559FF"/>
    <w:rsid w:val="36265F04"/>
    <w:rsid w:val="36267CE0"/>
    <w:rsid w:val="36284700"/>
    <w:rsid w:val="363F4D43"/>
    <w:rsid w:val="3647650C"/>
    <w:rsid w:val="365078DE"/>
    <w:rsid w:val="36583E87"/>
    <w:rsid w:val="36627C0A"/>
    <w:rsid w:val="36693B36"/>
    <w:rsid w:val="366B0AAA"/>
    <w:rsid w:val="367459BC"/>
    <w:rsid w:val="36752210"/>
    <w:rsid w:val="36922B55"/>
    <w:rsid w:val="36991125"/>
    <w:rsid w:val="369F5349"/>
    <w:rsid w:val="36A20016"/>
    <w:rsid w:val="36B121C7"/>
    <w:rsid w:val="36B32B98"/>
    <w:rsid w:val="36D27C18"/>
    <w:rsid w:val="36D512A9"/>
    <w:rsid w:val="36DF1B2B"/>
    <w:rsid w:val="36F414F3"/>
    <w:rsid w:val="36FB118C"/>
    <w:rsid w:val="37084836"/>
    <w:rsid w:val="370974B4"/>
    <w:rsid w:val="371978B1"/>
    <w:rsid w:val="371E6151"/>
    <w:rsid w:val="37277663"/>
    <w:rsid w:val="373534DE"/>
    <w:rsid w:val="37357964"/>
    <w:rsid w:val="373D656F"/>
    <w:rsid w:val="373E7409"/>
    <w:rsid w:val="37446333"/>
    <w:rsid w:val="37446A77"/>
    <w:rsid w:val="3753157F"/>
    <w:rsid w:val="378A731A"/>
    <w:rsid w:val="378E3617"/>
    <w:rsid w:val="37931A90"/>
    <w:rsid w:val="37A4082B"/>
    <w:rsid w:val="37A4627C"/>
    <w:rsid w:val="37A530D5"/>
    <w:rsid w:val="37B5292C"/>
    <w:rsid w:val="37BA6351"/>
    <w:rsid w:val="37C93B72"/>
    <w:rsid w:val="37CA17D9"/>
    <w:rsid w:val="37D74A0A"/>
    <w:rsid w:val="37F311D3"/>
    <w:rsid w:val="37F7242F"/>
    <w:rsid w:val="37FE3BCF"/>
    <w:rsid w:val="380579FE"/>
    <w:rsid w:val="382150C9"/>
    <w:rsid w:val="38284CDE"/>
    <w:rsid w:val="382F19E6"/>
    <w:rsid w:val="383B2EED"/>
    <w:rsid w:val="384C2D57"/>
    <w:rsid w:val="385324F7"/>
    <w:rsid w:val="386A1921"/>
    <w:rsid w:val="38894DA5"/>
    <w:rsid w:val="38981AB5"/>
    <w:rsid w:val="38A40C18"/>
    <w:rsid w:val="38AB306B"/>
    <w:rsid w:val="38BF2270"/>
    <w:rsid w:val="38C33701"/>
    <w:rsid w:val="38C43916"/>
    <w:rsid w:val="38D504F4"/>
    <w:rsid w:val="38D95A84"/>
    <w:rsid w:val="38E11AA1"/>
    <w:rsid w:val="38E13EB8"/>
    <w:rsid w:val="38E46191"/>
    <w:rsid w:val="38F50C85"/>
    <w:rsid w:val="39325471"/>
    <w:rsid w:val="393544DD"/>
    <w:rsid w:val="393962EC"/>
    <w:rsid w:val="394935B8"/>
    <w:rsid w:val="394C557A"/>
    <w:rsid w:val="3952190F"/>
    <w:rsid w:val="395753F2"/>
    <w:rsid w:val="396B2094"/>
    <w:rsid w:val="39834074"/>
    <w:rsid w:val="39885108"/>
    <w:rsid w:val="3993373E"/>
    <w:rsid w:val="399436E6"/>
    <w:rsid w:val="399602F5"/>
    <w:rsid w:val="399B5B0D"/>
    <w:rsid w:val="39BA5484"/>
    <w:rsid w:val="39BB78F7"/>
    <w:rsid w:val="39C46549"/>
    <w:rsid w:val="39CA1A60"/>
    <w:rsid w:val="39D3749A"/>
    <w:rsid w:val="39DD49C2"/>
    <w:rsid w:val="39DD4ACE"/>
    <w:rsid w:val="39EC7454"/>
    <w:rsid w:val="39F44359"/>
    <w:rsid w:val="3A403EFF"/>
    <w:rsid w:val="3A614349"/>
    <w:rsid w:val="3A732E96"/>
    <w:rsid w:val="3A780D19"/>
    <w:rsid w:val="3A796E46"/>
    <w:rsid w:val="3A7C1FED"/>
    <w:rsid w:val="3A7E6D9F"/>
    <w:rsid w:val="3A8436E1"/>
    <w:rsid w:val="3A8849A8"/>
    <w:rsid w:val="3A9271C0"/>
    <w:rsid w:val="3A9A224E"/>
    <w:rsid w:val="3A9D2551"/>
    <w:rsid w:val="3AA16AC9"/>
    <w:rsid w:val="3AA97F70"/>
    <w:rsid w:val="3ABC0CD6"/>
    <w:rsid w:val="3ABF42F5"/>
    <w:rsid w:val="3ADF1877"/>
    <w:rsid w:val="3AE97B74"/>
    <w:rsid w:val="3AF04AB7"/>
    <w:rsid w:val="3AF709AB"/>
    <w:rsid w:val="3AFD37D0"/>
    <w:rsid w:val="3B016EE9"/>
    <w:rsid w:val="3B372140"/>
    <w:rsid w:val="3B3A132E"/>
    <w:rsid w:val="3B456D7F"/>
    <w:rsid w:val="3B5E261D"/>
    <w:rsid w:val="3B616FBE"/>
    <w:rsid w:val="3B6F5B73"/>
    <w:rsid w:val="3B7B1D0B"/>
    <w:rsid w:val="3B873119"/>
    <w:rsid w:val="3B8E2C11"/>
    <w:rsid w:val="3BA35FC1"/>
    <w:rsid w:val="3BA566FD"/>
    <w:rsid w:val="3BAC7316"/>
    <w:rsid w:val="3BB47D9F"/>
    <w:rsid w:val="3BE15767"/>
    <w:rsid w:val="3BEB0F88"/>
    <w:rsid w:val="3BF10AAD"/>
    <w:rsid w:val="3BF24261"/>
    <w:rsid w:val="3BF85F82"/>
    <w:rsid w:val="3C070D59"/>
    <w:rsid w:val="3C0F1954"/>
    <w:rsid w:val="3C1E391D"/>
    <w:rsid w:val="3C226A06"/>
    <w:rsid w:val="3C294498"/>
    <w:rsid w:val="3C333216"/>
    <w:rsid w:val="3C36018F"/>
    <w:rsid w:val="3C4D528C"/>
    <w:rsid w:val="3C4F6352"/>
    <w:rsid w:val="3C4F7D80"/>
    <w:rsid w:val="3C5A669F"/>
    <w:rsid w:val="3C64689F"/>
    <w:rsid w:val="3C70592D"/>
    <w:rsid w:val="3C740DAA"/>
    <w:rsid w:val="3C7E65EC"/>
    <w:rsid w:val="3C812838"/>
    <w:rsid w:val="3C9E64A0"/>
    <w:rsid w:val="3CA70FAC"/>
    <w:rsid w:val="3CAA38C3"/>
    <w:rsid w:val="3CB36CF4"/>
    <w:rsid w:val="3CB55A02"/>
    <w:rsid w:val="3CBA78F5"/>
    <w:rsid w:val="3CC066E1"/>
    <w:rsid w:val="3CC26B63"/>
    <w:rsid w:val="3CD71E34"/>
    <w:rsid w:val="3CE11AAD"/>
    <w:rsid w:val="3CE34E29"/>
    <w:rsid w:val="3CE54B9F"/>
    <w:rsid w:val="3CF772DA"/>
    <w:rsid w:val="3D1665B9"/>
    <w:rsid w:val="3D272F24"/>
    <w:rsid w:val="3D58163A"/>
    <w:rsid w:val="3D5A05E2"/>
    <w:rsid w:val="3D5B5B36"/>
    <w:rsid w:val="3D5C63D4"/>
    <w:rsid w:val="3D695FEE"/>
    <w:rsid w:val="3D7007AD"/>
    <w:rsid w:val="3D7618FA"/>
    <w:rsid w:val="3D791797"/>
    <w:rsid w:val="3D7B0528"/>
    <w:rsid w:val="3D836C7C"/>
    <w:rsid w:val="3D8522AA"/>
    <w:rsid w:val="3D8742F7"/>
    <w:rsid w:val="3D9A0655"/>
    <w:rsid w:val="3DA00A4C"/>
    <w:rsid w:val="3DA02B82"/>
    <w:rsid w:val="3DB6421C"/>
    <w:rsid w:val="3DC46187"/>
    <w:rsid w:val="3DE548AC"/>
    <w:rsid w:val="3DE653F8"/>
    <w:rsid w:val="3DE72673"/>
    <w:rsid w:val="3DE82113"/>
    <w:rsid w:val="3DEB1255"/>
    <w:rsid w:val="3DEC67A8"/>
    <w:rsid w:val="3E0F25EA"/>
    <w:rsid w:val="3E146F59"/>
    <w:rsid w:val="3E1524DD"/>
    <w:rsid w:val="3E237BCC"/>
    <w:rsid w:val="3E3419DC"/>
    <w:rsid w:val="3E623E46"/>
    <w:rsid w:val="3E7A1C88"/>
    <w:rsid w:val="3E7B6BEF"/>
    <w:rsid w:val="3E8A54BC"/>
    <w:rsid w:val="3E8B095A"/>
    <w:rsid w:val="3E8E6C82"/>
    <w:rsid w:val="3E943FDD"/>
    <w:rsid w:val="3E9A19C5"/>
    <w:rsid w:val="3EAC3BDD"/>
    <w:rsid w:val="3EB767A1"/>
    <w:rsid w:val="3ECF0F50"/>
    <w:rsid w:val="3ECF234A"/>
    <w:rsid w:val="3ED671CD"/>
    <w:rsid w:val="3EDA4DB8"/>
    <w:rsid w:val="3EE14A57"/>
    <w:rsid w:val="3EE21263"/>
    <w:rsid w:val="3F144192"/>
    <w:rsid w:val="3F211701"/>
    <w:rsid w:val="3F275331"/>
    <w:rsid w:val="3F330353"/>
    <w:rsid w:val="3F5C7593"/>
    <w:rsid w:val="3F676DC2"/>
    <w:rsid w:val="3F8918F7"/>
    <w:rsid w:val="3F8B5804"/>
    <w:rsid w:val="3F8E0C7C"/>
    <w:rsid w:val="3F952814"/>
    <w:rsid w:val="3FA41C63"/>
    <w:rsid w:val="3FAB3D87"/>
    <w:rsid w:val="3FAB41A2"/>
    <w:rsid w:val="3FAE47F6"/>
    <w:rsid w:val="3FB6314D"/>
    <w:rsid w:val="3FBB09FD"/>
    <w:rsid w:val="3FBC1EEC"/>
    <w:rsid w:val="3FE458A7"/>
    <w:rsid w:val="3FFF2E61"/>
    <w:rsid w:val="40081118"/>
    <w:rsid w:val="400A1CFC"/>
    <w:rsid w:val="400B3CE1"/>
    <w:rsid w:val="40321042"/>
    <w:rsid w:val="40400533"/>
    <w:rsid w:val="40587C48"/>
    <w:rsid w:val="406D461C"/>
    <w:rsid w:val="406F7D87"/>
    <w:rsid w:val="407B29C4"/>
    <w:rsid w:val="40825FDB"/>
    <w:rsid w:val="40907287"/>
    <w:rsid w:val="409B39A8"/>
    <w:rsid w:val="409D2626"/>
    <w:rsid w:val="40A002BF"/>
    <w:rsid w:val="40A21F1A"/>
    <w:rsid w:val="40A25374"/>
    <w:rsid w:val="40BD153A"/>
    <w:rsid w:val="40CD7BD8"/>
    <w:rsid w:val="40CE727C"/>
    <w:rsid w:val="40D07371"/>
    <w:rsid w:val="40D72C72"/>
    <w:rsid w:val="40F1013C"/>
    <w:rsid w:val="40F43449"/>
    <w:rsid w:val="412506DF"/>
    <w:rsid w:val="413B3F74"/>
    <w:rsid w:val="41442E91"/>
    <w:rsid w:val="41452069"/>
    <w:rsid w:val="414F41D7"/>
    <w:rsid w:val="414F7876"/>
    <w:rsid w:val="415A0FEF"/>
    <w:rsid w:val="416C15E7"/>
    <w:rsid w:val="416E039C"/>
    <w:rsid w:val="41732908"/>
    <w:rsid w:val="417B4D4F"/>
    <w:rsid w:val="41800377"/>
    <w:rsid w:val="41852F59"/>
    <w:rsid w:val="418B26ED"/>
    <w:rsid w:val="41A63744"/>
    <w:rsid w:val="41AC6BA3"/>
    <w:rsid w:val="41AD3C22"/>
    <w:rsid w:val="41AD5F07"/>
    <w:rsid w:val="41B730A3"/>
    <w:rsid w:val="41B737E0"/>
    <w:rsid w:val="41B77B6D"/>
    <w:rsid w:val="41B83A72"/>
    <w:rsid w:val="41CB06CB"/>
    <w:rsid w:val="41CF1738"/>
    <w:rsid w:val="41D1580B"/>
    <w:rsid w:val="41DC53CC"/>
    <w:rsid w:val="41DC5EDF"/>
    <w:rsid w:val="41F05FE9"/>
    <w:rsid w:val="41F24303"/>
    <w:rsid w:val="41F52080"/>
    <w:rsid w:val="41FB0D2D"/>
    <w:rsid w:val="420850A2"/>
    <w:rsid w:val="422C0EA3"/>
    <w:rsid w:val="422D5E13"/>
    <w:rsid w:val="422E207E"/>
    <w:rsid w:val="423B03EA"/>
    <w:rsid w:val="42487913"/>
    <w:rsid w:val="42487CAC"/>
    <w:rsid w:val="4253271D"/>
    <w:rsid w:val="42571AE1"/>
    <w:rsid w:val="42697E79"/>
    <w:rsid w:val="42730E0D"/>
    <w:rsid w:val="427409B9"/>
    <w:rsid w:val="428037D9"/>
    <w:rsid w:val="42831021"/>
    <w:rsid w:val="42873CB7"/>
    <w:rsid w:val="42875149"/>
    <w:rsid w:val="42A87389"/>
    <w:rsid w:val="42AC5FA8"/>
    <w:rsid w:val="42D67001"/>
    <w:rsid w:val="42E06A10"/>
    <w:rsid w:val="42E22D18"/>
    <w:rsid w:val="42FB0307"/>
    <w:rsid w:val="43112BE5"/>
    <w:rsid w:val="431B56C6"/>
    <w:rsid w:val="432E5E21"/>
    <w:rsid w:val="43314E44"/>
    <w:rsid w:val="433D2335"/>
    <w:rsid w:val="436A2192"/>
    <w:rsid w:val="436E4CD2"/>
    <w:rsid w:val="436F0563"/>
    <w:rsid w:val="439C3431"/>
    <w:rsid w:val="439D0E7C"/>
    <w:rsid w:val="43A03A56"/>
    <w:rsid w:val="43A46131"/>
    <w:rsid w:val="43BC1F33"/>
    <w:rsid w:val="43C239F9"/>
    <w:rsid w:val="43D67A91"/>
    <w:rsid w:val="43E21F58"/>
    <w:rsid w:val="43F76F69"/>
    <w:rsid w:val="43FC0DB2"/>
    <w:rsid w:val="44180464"/>
    <w:rsid w:val="444F4ACD"/>
    <w:rsid w:val="4458379B"/>
    <w:rsid w:val="44584267"/>
    <w:rsid w:val="447B4A66"/>
    <w:rsid w:val="447D4136"/>
    <w:rsid w:val="44872078"/>
    <w:rsid w:val="448B5845"/>
    <w:rsid w:val="44B53006"/>
    <w:rsid w:val="44B77231"/>
    <w:rsid w:val="44BC08C1"/>
    <w:rsid w:val="44C04749"/>
    <w:rsid w:val="44C87C0F"/>
    <w:rsid w:val="44DE5F0D"/>
    <w:rsid w:val="44DF6F1B"/>
    <w:rsid w:val="44F16271"/>
    <w:rsid w:val="44FA22FB"/>
    <w:rsid w:val="451C71F3"/>
    <w:rsid w:val="452207B4"/>
    <w:rsid w:val="45234DF2"/>
    <w:rsid w:val="45282340"/>
    <w:rsid w:val="452D310B"/>
    <w:rsid w:val="454505EA"/>
    <w:rsid w:val="45487124"/>
    <w:rsid w:val="454E4F75"/>
    <w:rsid w:val="454E6B7A"/>
    <w:rsid w:val="45501C46"/>
    <w:rsid w:val="457736FF"/>
    <w:rsid w:val="45790DCE"/>
    <w:rsid w:val="458421BE"/>
    <w:rsid w:val="458B757C"/>
    <w:rsid w:val="458E7DE8"/>
    <w:rsid w:val="45906159"/>
    <w:rsid w:val="45917B8A"/>
    <w:rsid w:val="45A82A6E"/>
    <w:rsid w:val="45E15D82"/>
    <w:rsid w:val="45E826B2"/>
    <w:rsid w:val="45EE7381"/>
    <w:rsid w:val="45F4334C"/>
    <w:rsid w:val="461E164A"/>
    <w:rsid w:val="462C603E"/>
    <w:rsid w:val="4662020E"/>
    <w:rsid w:val="4671651F"/>
    <w:rsid w:val="4673281B"/>
    <w:rsid w:val="467A6815"/>
    <w:rsid w:val="467D2B72"/>
    <w:rsid w:val="468A27AC"/>
    <w:rsid w:val="469123ED"/>
    <w:rsid w:val="46981A1E"/>
    <w:rsid w:val="46987D2F"/>
    <w:rsid w:val="46995896"/>
    <w:rsid w:val="469D6FF6"/>
    <w:rsid w:val="46A35C12"/>
    <w:rsid w:val="46A82992"/>
    <w:rsid w:val="46AD7A54"/>
    <w:rsid w:val="46B35FAC"/>
    <w:rsid w:val="46B419BE"/>
    <w:rsid w:val="46B640D3"/>
    <w:rsid w:val="46CD1F17"/>
    <w:rsid w:val="46CF188A"/>
    <w:rsid w:val="46D67289"/>
    <w:rsid w:val="46DD1D17"/>
    <w:rsid w:val="46E1018C"/>
    <w:rsid w:val="46E53AB0"/>
    <w:rsid w:val="46F37479"/>
    <w:rsid w:val="46FC2FE8"/>
    <w:rsid w:val="47033281"/>
    <w:rsid w:val="47073BE8"/>
    <w:rsid w:val="47114B2A"/>
    <w:rsid w:val="47351654"/>
    <w:rsid w:val="47457188"/>
    <w:rsid w:val="474D24B0"/>
    <w:rsid w:val="47540D96"/>
    <w:rsid w:val="47666951"/>
    <w:rsid w:val="47683159"/>
    <w:rsid w:val="477E281E"/>
    <w:rsid w:val="478047A2"/>
    <w:rsid w:val="479D7800"/>
    <w:rsid w:val="47AC3403"/>
    <w:rsid w:val="47AF2E5D"/>
    <w:rsid w:val="47B90A5D"/>
    <w:rsid w:val="47D80435"/>
    <w:rsid w:val="47DD6A91"/>
    <w:rsid w:val="47EB0853"/>
    <w:rsid w:val="47F01AF1"/>
    <w:rsid w:val="47F82625"/>
    <w:rsid w:val="47FA20F9"/>
    <w:rsid w:val="480B7A59"/>
    <w:rsid w:val="48111DC2"/>
    <w:rsid w:val="482B187E"/>
    <w:rsid w:val="482D350F"/>
    <w:rsid w:val="48356FE7"/>
    <w:rsid w:val="48380714"/>
    <w:rsid w:val="483C2A8C"/>
    <w:rsid w:val="48424FA1"/>
    <w:rsid w:val="484647AE"/>
    <w:rsid w:val="484F1901"/>
    <w:rsid w:val="485D5413"/>
    <w:rsid w:val="485F57EC"/>
    <w:rsid w:val="48675AD5"/>
    <w:rsid w:val="486B6273"/>
    <w:rsid w:val="48730B84"/>
    <w:rsid w:val="48740F16"/>
    <w:rsid w:val="48770B9B"/>
    <w:rsid w:val="488373B0"/>
    <w:rsid w:val="48850976"/>
    <w:rsid w:val="48942964"/>
    <w:rsid w:val="48A36B1C"/>
    <w:rsid w:val="48A76BEF"/>
    <w:rsid w:val="48AF255D"/>
    <w:rsid w:val="48B16C29"/>
    <w:rsid w:val="48BC169D"/>
    <w:rsid w:val="48DC218B"/>
    <w:rsid w:val="48E17156"/>
    <w:rsid w:val="49075A63"/>
    <w:rsid w:val="490C1965"/>
    <w:rsid w:val="49147FAC"/>
    <w:rsid w:val="49334F98"/>
    <w:rsid w:val="4935171C"/>
    <w:rsid w:val="49361CF7"/>
    <w:rsid w:val="495A15B8"/>
    <w:rsid w:val="495C3370"/>
    <w:rsid w:val="496409A2"/>
    <w:rsid w:val="49667C00"/>
    <w:rsid w:val="49707759"/>
    <w:rsid w:val="49754BB1"/>
    <w:rsid w:val="49927DFC"/>
    <w:rsid w:val="4995554E"/>
    <w:rsid w:val="499B3646"/>
    <w:rsid w:val="499C3504"/>
    <w:rsid w:val="49A43EE6"/>
    <w:rsid w:val="49B17BEA"/>
    <w:rsid w:val="49C20C6C"/>
    <w:rsid w:val="49C629F7"/>
    <w:rsid w:val="49CA0F9F"/>
    <w:rsid w:val="49CA2F55"/>
    <w:rsid w:val="49CD5459"/>
    <w:rsid w:val="49CE0C89"/>
    <w:rsid w:val="49D15872"/>
    <w:rsid w:val="49D81B71"/>
    <w:rsid w:val="49D93C20"/>
    <w:rsid w:val="49DA3FD3"/>
    <w:rsid w:val="49F42C64"/>
    <w:rsid w:val="4A0573EC"/>
    <w:rsid w:val="4A06116C"/>
    <w:rsid w:val="4A09499E"/>
    <w:rsid w:val="4A1A36F6"/>
    <w:rsid w:val="4A381BA6"/>
    <w:rsid w:val="4A3926E2"/>
    <w:rsid w:val="4A4172CE"/>
    <w:rsid w:val="4A43236C"/>
    <w:rsid w:val="4A4A176A"/>
    <w:rsid w:val="4A4E27FB"/>
    <w:rsid w:val="4A597D42"/>
    <w:rsid w:val="4A69189A"/>
    <w:rsid w:val="4A6B2CB7"/>
    <w:rsid w:val="4A6C0FC7"/>
    <w:rsid w:val="4A7413BF"/>
    <w:rsid w:val="4A7D09F3"/>
    <w:rsid w:val="4A830058"/>
    <w:rsid w:val="4A840EFE"/>
    <w:rsid w:val="4A845CAA"/>
    <w:rsid w:val="4AC4256B"/>
    <w:rsid w:val="4AD162A8"/>
    <w:rsid w:val="4AD768C6"/>
    <w:rsid w:val="4AF902F5"/>
    <w:rsid w:val="4AF94D42"/>
    <w:rsid w:val="4B1035F9"/>
    <w:rsid w:val="4B124369"/>
    <w:rsid w:val="4B166E1C"/>
    <w:rsid w:val="4B2B0532"/>
    <w:rsid w:val="4B376E2E"/>
    <w:rsid w:val="4B385AE2"/>
    <w:rsid w:val="4B6144E3"/>
    <w:rsid w:val="4B670BD8"/>
    <w:rsid w:val="4B705844"/>
    <w:rsid w:val="4B7A3C96"/>
    <w:rsid w:val="4B7B6D19"/>
    <w:rsid w:val="4B82716C"/>
    <w:rsid w:val="4B8A2918"/>
    <w:rsid w:val="4B901807"/>
    <w:rsid w:val="4B9B25E4"/>
    <w:rsid w:val="4BA56685"/>
    <w:rsid w:val="4BA636F7"/>
    <w:rsid w:val="4BAA3021"/>
    <w:rsid w:val="4BAD4CA2"/>
    <w:rsid w:val="4BC456EF"/>
    <w:rsid w:val="4BC459EE"/>
    <w:rsid w:val="4BC647B0"/>
    <w:rsid w:val="4BCF2E9C"/>
    <w:rsid w:val="4BDF4B49"/>
    <w:rsid w:val="4BE57E16"/>
    <w:rsid w:val="4BE8649D"/>
    <w:rsid w:val="4BE864E9"/>
    <w:rsid w:val="4BF1588F"/>
    <w:rsid w:val="4BF347FB"/>
    <w:rsid w:val="4C01553F"/>
    <w:rsid w:val="4C0236B4"/>
    <w:rsid w:val="4C1063E3"/>
    <w:rsid w:val="4C146467"/>
    <w:rsid w:val="4C192F75"/>
    <w:rsid w:val="4C312ECF"/>
    <w:rsid w:val="4C411830"/>
    <w:rsid w:val="4C497E0F"/>
    <w:rsid w:val="4C4E5C2D"/>
    <w:rsid w:val="4C5035A1"/>
    <w:rsid w:val="4C5F0B5D"/>
    <w:rsid w:val="4C853873"/>
    <w:rsid w:val="4C860543"/>
    <w:rsid w:val="4C8E48D8"/>
    <w:rsid w:val="4C925EE7"/>
    <w:rsid w:val="4C974009"/>
    <w:rsid w:val="4CA22697"/>
    <w:rsid w:val="4CA946C2"/>
    <w:rsid w:val="4CBD40B9"/>
    <w:rsid w:val="4CC17C3E"/>
    <w:rsid w:val="4CC42462"/>
    <w:rsid w:val="4CCA1AB8"/>
    <w:rsid w:val="4CCD5921"/>
    <w:rsid w:val="4CD4463A"/>
    <w:rsid w:val="4CDA21DD"/>
    <w:rsid w:val="4CE56B38"/>
    <w:rsid w:val="4CF04CFC"/>
    <w:rsid w:val="4CFB51DB"/>
    <w:rsid w:val="4D0F1680"/>
    <w:rsid w:val="4D1D6CA0"/>
    <w:rsid w:val="4D224099"/>
    <w:rsid w:val="4D2609C6"/>
    <w:rsid w:val="4D2F5C2A"/>
    <w:rsid w:val="4D321363"/>
    <w:rsid w:val="4D33448A"/>
    <w:rsid w:val="4D3F4840"/>
    <w:rsid w:val="4D410392"/>
    <w:rsid w:val="4D5C5732"/>
    <w:rsid w:val="4D5D3C4B"/>
    <w:rsid w:val="4D656800"/>
    <w:rsid w:val="4D6F7110"/>
    <w:rsid w:val="4D705706"/>
    <w:rsid w:val="4D8D11C1"/>
    <w:rsid w:val="4DA46B8F"/>
    <w:rsid w:val="4DA53BC8"/>
    <w:rsid w:val="4DA67ADA"/>
    <w:rsid w:val="4DB066C9"/>
    <w:rsid w:val="4DB41824"/>
    <w:rsid w:val="4DD776ED"/>
    <w:rsid w:val="4DDF6E13"/>
    <w:rsid w:val="4DE60E50"/>
    <w:rsid w:val="4DF20FEE"/>
    <w:rsid w:val="4E065F13"/>
    <w:rsid w:val="4E0939E5"/>
    <w:rsid w:val="4E176DF3"/>
    <w:rsid w:val="4E341058"/>
    <w:rsid w:val="4E3A2C21"/>
    <w:rsid w:val="4E3E3B7D"/>
    <w:rsid w:val="4E436B56"/>
    <w:rsid w:val="4E4475F5"/>
    <w:rsid w:val="4E537915"/>
    <w:rsid w:val="4E584688"/>
    <w:rsid w:val="4E5C1ABE"/>
    <w:rsid w:val="4E68543B"/>
    <w:rsid w:val="4E694E99"/>
    <w:rsid w:val="4E795FE9"/>
    <w:rsid w:val="4E81649F"/>
    <w:rsid w:val="4EC97437"/>
    <w:rsid w:val="4EE70B3A"/>
    <w:rsid w:val="4EE86D63"/>
    <w:rsid w:val="4EEE11A3"/>
    <w:rsid w:val="4EFF3444"/>
    <w:rsid w:val="4F0441E5"/>
    <w:rsid w:val="4F155F27"/>
    <w:rsid w:val="4F265B84"/>
    <w:rsid w:val="4F375CA9"/>
    <w:rsid w:val="4F48596D"/>
    <w:rsid w:val="4F592DB7"/>
    <w:rsid w:val="4F7278C6"/>
    <w:rsid w:val="4F85034E"/>
    <w:rsid w:val="4F900E85"/>
    <w:rsid w:val="4F983E33"/>
    <w:rsid w:val="4FA6049A"/>
    <w:rsid w:val="4FA92910"/>
    <w:rsid w:val="4FAB3627"/>
    <w:rsid w:val="4FB40C2C"/>
    <w:rsid w:val="4FB47C52"/>
    <w:rsid w:val="4FCE48C1"/>
    <w:rsid w:val="4FD365FC"/>
    <w:rsid w:val="4FD555E6"/>
    <w:rsid w:val="4FD62D61"/>
    <w:rsid w:val="4FDC6418"/>
    <w:rsid w:val="4FE15781"/>
    <w:rsid w:val="50064366"/>
    <w:rsid w:val="50095827"/>
    <w:rsid w:val="50186BF6"/>
    <w:rsid w:val="5026516A"/>
    <w:rsid w:val="502C4247"/>
    <w:rsid w:val="502D25A0"/>
    <w:rsid w:val="50366D16"/>
    <w:rsid w:val="503D5373"/>
    <w:rsid w:val="504261AC"/>
    <w:rsid w:val="504456B4"/>
    <w:rsid w:val="506309DB"/>
    <w:rsid w:val="50673AAF"/>
    <w:rsid w:val="506A0B03"/>
    <w:rsid w:val="50887055"/>
    <w:rsid w:val="50B139BD"/>
    <w:rsid w:val="50BD136E"/>
    <w:rsid w:val="50BD1498"/>
    <w:rsid w:val="50BE1B1D"/>
    <w:rsid w:val="50C11710"/>
    <w:rsid w:val="50C35503"/>
    <w:rsid w:val="50C51F05"/>
    <w:rsid w:val="50D228CF"/>
    <w:rsid w:val="50E63519"/>
    <w:rsid w:val="50E811B3"/>
    <w:rsid w:val="50ED76FB"/>
    <w:rsid w:val="50F90C9A"/>
    <w:rsid w:val="510C457A"/>
    <w:rsid w:val="51160090"/>
    <w:rsid w:val="51187610"/>
    <w:rsid w:val="51244150"/>
    <w:rsid w:val="512544CA"/>
    <w:rsid w:val="51375EB3"/>
    <w:rsid w:val="513853CC"/>
    <w:rsid w:val="514C1E16"/>
    <w:rsid w:val="51532BD7"/>
    <w:rsid w:val="515C30A6"/>
    <w:rsid w:val="517609A8"/>
    <w:rsid w:val="51773865"/>
    <w:rsid w:val="517F00BC"/>
    <w:rsid w:val="519277A0"/>
    <w:rsid w:val="519D2F03"/>
    <w:rsid w:val="51BE2EAE"/>
    <w:rsid w:val="51DA5890"/>
    <w:rsid w:val="51E847E9"/>
    <w:rsid w:val="51F96848"/>
    <w:rsid w:val="51FD545C"/>
    <w:rsid w:val="52073487"/>
    <w:rsid w:val="520F51DD"/>
    <w:rsid w:val="521C5D43"/>
    <w:rsid w:val="521D7ED7"/>
    <w:rsid w:val="522E6569"/>
    <w:rsid w:val="52320AF6"/>
    <w:rsid w:val="5239194F"/>
    <w:rsid w:val="52575A52"/>
    <w:rsid w:val="52612620"/>
    <w:rsid w:val="52645F0D"/>
    <w:rsid w:val="52790FD9"/>
    <w:rsid w:val="52794D19"/>
    <w:rsid w:val="528C5E23"/>
    <w:rsid w:val="52960315"/>
    <w:rsid w:val="529F0D9B"/>
    <w:rsid w:val="52A501E6"/>
    <w:rsid w:val="52A66651"/>
    <w:rsid w:val="52B85A63"/>
    <w:rsid w:val="52CC2D2A"/>
    <w:rsid w:val="52CF0A4A"/>
    <w:rsid w:val="52DD5B35"/>
    <w:rsid w:val="52F37FA3"/>
    <w:rsid w:val="52FC1C88"/>
    <w:rsid w:val="53022575"/>
    <w:rsid w:val="53155215"/>
    <w:rsid w:val="531621BA"/>
    <w:rsid w:val="531D0F10"/>
    <w:rsid w:val="531E4DAF"/>
    <w:rsid w:val="533E0346"/>
    <w:rsid w:val="53421CE4"/>
    <w:rsid w:val="534246C3"/>
    <w:rsid w:val="534410BE"/>
    <w:rsid w:val="53495ACD"/>
    <w:rsid w:val="53504BF5"/>
    <w:rsid w:val="5366542B"/>
    <w:rsid w:val="536D41AE"/>
    <w:rsid w:val="53794E20"/>
    <w:rsid w:val="538351B9"/>
    <w:rsid w:val="538631E4"/>
    <w:rsid w:val="538C0D83"/>
    <w:rsid w:val="5391597D"/>
    <w:rsid w:val="53947DE7"/>
    <w:rsid w:val="53A27D95"/>
    <w:rsid w:val="53A911A1"/>
    <w:rsid w:val="53CB5421"/>
    <w:rsid w:val="53E07B00"/>
    <w:rsid w:val="53EB6A75"/>
    <w:rsid w:val="53FF643B"/>
    <w:rsid w:val="54002BFD"/>
    <w:rsid w:val="540B6F94"/>
    <w:rsid w:val="54141AF3"/>
    <w:rsid w:val="542661EF"/>
    <w:rsid w:val="542F7A60"/>
    <w:rsid w:val="54550067"/>
    <w:rsid w:val="54580F5A"/>
    <w:rsid w:val="54592618"/>
    <w:rsid w:val="54600373"/>
    <w:rsid w:val="5478695B"/>
    <w:rsid w:val="548810E8"/>
    <w:rsid w:val="549C6534"/>
    <w:rsid w:val="54B62C99"/>
    <w:rsid w:val="54BC5F2B"/>
    <w:rsid w:val="54D37100"/>
    <w:rsid w:val="54DF688B"/>
    <w:rsid w:val="54FB3DC8"/>
    <w:rsid w:val="550160E6"/>
    <w:rsid w:val="550E5B10"/>
    <w:rsid w:val="550E6C32"/>
    <w:rsid w:val="5526046A"/>
    <w:rsid w:val="55442034"/>
    <w:rsid w:val="554D7A99"/>
    <w:rsid w:val="554E0863"/>
    <w:rsid w:val="55507B5A"/>
    <w:rsid w:val="555737A6"/>
    <w:rsid w:val="55611FED"/>
    <w:rsid w:val="5565650B"/>
    <w:rsid w:val="556C1CC4"/>
    <w:rsid w:val="55712540"/>
    <w:rsid w:val="55736D19"/>
    <w:rsid w:val="5577741D"/>
    <w:rsid w:val="558126EC"/>
    <w:rsid w:val="55883669"/>
    <w:rsid w:val="558C19C8"/>
    <w:rsid w:val="559537DA"/>
    <w:rsid w:val="55B403DD"/>
    <w:rsid w:val="55C0140E"/>
    <w:rsid w:val="55CC0BAB"/>
    <w:rsid w:val="55CF48E7"/>
    <w:rsid w:val="55D0342A"/>
    <w:rsid w:val="55D849A1"/>
    <w:rsid w:val="55E31A15"/>
    <w:rsid w:val="55E5367A"/>
    <w:rsid w:val="55F60A33"/>
    <w:rsid w:val="56052121"/>
    <w:rsid w:val="560F40F1"/>
    <w:rsid w:val="56214A7B"/>
    <w:rsid w:val="56237A65"/>
    <w:rsid w:val="562E1F90"/>
    <w:rsid w:val="563377E9"/>
    <w:rsid w:val="563B5B47"/>
    <w:rsid w:val="563B616D"/>
    <w:rsid w:val="56436207"/>
    <w:rsid w:val="564479E9"/>
    <w:rsid w:val="56471300"/>
    <w:rsid w:val="564A1E7B"/>
    <w:rsid w:val="56553319"/>
    <w:rsid w:val="566510CB"/>
    <w:rsid w:val="567A6CC0"/>
    <w:rsid w:val="567F6E0E"/>
    <w:rsid w:val="56927DA4"/>
    <w:rsid w:val="569A611A"/>
    <w:rsid w:val="56A04928"/>
    <w:rsid w:val="56A50EBB"/>
    <w:rsid w:val="56B96F66"/>
    <w:rsid w:val="56BA3C27"/>
    <w:rsid w:val="56BA77B7"/>
    <w:rsid w:val="56BE75C0"/>
    <w:rsid w:val="56CF7226"/>
    <w:rsid w:val="56D03DCB"/>
    <w:rsid w:val="56DA3EBA"/>
    <w:rsid w:val="56DD6C39"/>
    <w:rsid w:val="56E7418D"/>
    <w:rsid w:val="56ED5E03"/>
    <w:rsid w:val="56EE08E8"/>
    <w:rsid w:val="56FB0134"/>
    <w:rsid w:val="57012351"/>
    <w:rsid w:val="57095761"/>
    <w:rsid w:val="571F2637"/>
    <w:rsid w:val="57292292"/>
    <w:rsid w:val="572E7E52"/>
    <w:rsid w:val="573B3910"/>
    <w:rsid w:val="57441BF7"/>
    <w:rsid w:val="57464785"/>
    <w:rsid w:val="57484376"/>
    <w:rsid w:val="574B4B12"/>
    <w:rsid w:val="575425F9"/>
    <w:rsid w:val="57702374"/>
    <w:rsid w:val="579A7C07"/>
    <w:rsid w:val="57A46FEE"/>
    <w:rsid w:val="57B02763"/>
    <w:rsid w:val="57B6547E"/>
    <w:rsid w:val="57D01AAC"/>
    <w:rsid w:val="57D07F14"/>
    <w:rsid w:val="57DC3510"/>
    <w:rsid w:val="57DF6500"/>
    <w:rsid w:val="57E73B61"/>
    <w:rsid w:val="5803475B"/>
    <w:rsid w:val="580F5BC1"/>
    <w:rsid w:val="5822786C"/>
    <w:rsid w:val="58590DD2"/>
    <w:rsid w:val="586A715C"/>
    <w:rsid w:val="586E1447"/>
    <w:rsid w:val="58766761"/>
    <w:rsid w:val="5878285F"/>
    <w:rsid w:val="588509DD"/>
    <w:rsid w:val="5889625C"/>
    <w:rsid w:val="58957A8C"/>
    <w:rsid w:val="589A112D"/>
    <w:rsid w:val="589F18E4"/>
    <w:rsid w:val="58AE10E2"/>
    <w:rsid w:val="58B06B22"/>
    <w:rsid w:val="58B8443B"/>
    <w:rsid w:val="58BC4002"/>
    <w:rsid w:val="58DB0330"/>
    <w:rsid w:val="58E24314"/>
    <w:rsid w:val="590217A0"/>
    <w:rsid w:val="592316B2"/>
    <w:rsid w:val="59267EF0"/>
    <w:rsid w:val="593100DB"/>
    <w:rsid w:val="593E360D"/>
    <w:rsid w:val="59421F7E"/>
    <w:rsid w:val="594935F2"/>
    <w:rsid w:val="595C0946"/>
    <w:rsid w:val="59617AB3"/>
    <w:rsid w:val="59642A7A"/>
    <w:rsid w:val="596770A1"/>
    <w:rsid w:val="596D32B4"/>
    <w:rsid w:val="59753E72"/>
    <w:rsid w:val="599148CE"/>
    <w:rsid w:val="59935FA1"/>
    <w:rsid w:val="599F7EF1"/>
    <w:rsid w:val="59A24ED6"/>
    <w:rsid w:val="59B425F3"/>
    <w:rsid w:val="59B6531E"/>
    <w:rsid w:val="59B75E8A"/>
    <w:rsid w:val="59BC0F73"/>
    <w:rsid w:val="59BD2911"/>
    <w:rsid w:val="59BE1CC3"/>
    <w:rsid w:val="59C13A26"/>
    <w:rsid w:val="59C501F0"/>
    <w:rsid w:val="59D906FD"/>
    <w:rsid w:val="59EB0D06"/>
    <w:rsid w:val="59EF791E"/>
    <w:rsid w:val="5A0640DE"/>
    <w:rsid w:val="5A1215B1"/>
    <w:rsid w:val="5A1D0AF2"/>
    <w:rsid w:val="5A1F5196"/>
    <w:rsid w:val="5A227353"/>
    <w:rsid w:val="5A440B9D"/>
    <w:rsid w:val="5A473C92"/>
    <w:rsid w:val="5A5128C3"/>
    <w:rsid w:val="5A58768A"/>
    <w:rsid w:val="5A5A4BC7"/>
    <w:rsid w:val="5A5C4869"/>
    <w:rsid w:val="5A5C7772"/>
    <w:rsid w:val="5A6336A1"/>
    <w:rsid w:val="5A6B7C88"/>
    <w:rsid w:val="5A73612A"/>
    <w:rsid w:val="5AA541CF"/>
    <w:rsid w:val="5AB52AA5"/>
    <w:rsid w:val="5AB96041"/>
    <w:rsid w:val="5ABC6BFA"/>
    <w:rsid w:val="5ACB6BD5"/>
    <w:rsid w:val="5ACF6B35"/>
    <w:rsid w:val="5AD510F0"/>
    <w:rsid w:val="5AF82FCA"/>
    <w:rsid w:val="5AFD2BAF"/>
    <w:rsid w:val="5B125E89"/>
    <w:rsid w:val="5B187495"/>
    <w:rsid w:val="5B1B10FA"/>
    <w:rsid w:val="5B2445B5"/>
    <w:rsid w:val="5B382D35"/>
    <w:rsid w:val="5B38370C"/>
    <w:rsid w:val="5B465E1D"/>
    <w:rsid w:val="5B492D29"/>
    <w:rsid w:val="5B52740E"/>
    <w:rsid w:val="5B561BE4"/>
    <w:rsid w:val="5B627DC7"/>
    <w:rsid w:val="5B6C5737"/>
    <w:rsid w:val="5B896F76"/>
    <w:rsid w:val="5B925F2F"/>
    <w:rsid w:val="5B9C0984"/>
    <w:rsid w:val="5BA40CB5"/>
    <w:rsid w:val="5BDA2A84"/>
    <w:rsid w:val="5BE23D1E"/>
    <w:rsid w:val="5BE24CD9"/>
    <w:rsid w:val="5BE50680"/>
    <w:rsid w:val="5BE52EE1"/>
    <w:rsid w:val="5BEA2231"/>
    <w:rsid w:val="5BFD4032"/>
    <w:rsid w:val="5C1832F4"/>
    <w:rsid w:val="5C1A3044"/>
    <w:rsid w:val="5C213BDE"/>
    <w:rsid w:val="5C2C37CC"/>
    <w:rsid w:val="5C3C4A39"/>
    <w:rsid w:val="5C3C7E2C"/>
    <w:rsid w:val="5C5E033F"/>
    <w:rsid w:val="5C6875EE"/>
    <w:rsid w:val="5C6D0F3E"/>
    <w:rsid w:val="5C9570C7"/>
    <w:rsid w:val="5CAD5DE3"/>
    <w:rsid w:val="5CBB3E0B"/>
    <w:rsid w:val="5CC43404"/>
    <w:rsid w:val="5CC93DAE"/>
    <w:rsid w:val="5CD31EE3"/>
    <w:rsid w:val="5CF80A65"/>
    <w:rsid w:val="5CFE7365"/>
    <w:rsid w:val="5D095704"/>
    <w:rsid w:val="5D2B5629"/>
    <w:rsid w:val="5D473075"/>
    <w:rsid w:val="5D5864DB"/>
    <w:rsid w:val="5D6056DD"/>
    <w:rsid w:val="5D73393B"/>
    <w:rsid w:val="5D784379"/>
    <w:rsid w:val="5D7B3457"/>
    <w:rsid w:val="5D8B2715"/>
    <w:rsid w:val="5D915AFD"/>
    <w:rsid w:val="5D961EC1"/>
    <w:rsid w:val="5DCF393D"/>
    <w:rsid w:val="5DDD094B"/>
    <w:rsid w:val="5E00720B"/>
    <w:rsid w:val="5E012896"/>
    <w:rsid w:val="5E05120A"/>
    <w:rsid w:val="5E0A6049"/>
    <w:rsid w:val="5E156B70"/>
    <w:rsid w:val="5E226508"/>
    <w:rsid w:val="5E294620"/>
    <w:rsid w:val="5E34754C"/>
    <w:rsid w:val="5E433FBB"/>
    <w:rsid w:val="5E5F0687"/>
    <w:rsid w:val="5E630272"/>
    <w:rsid w:val="5E783202"/>
    <w:rsid w:val="5E7842EE"/>
    <w:rsid w:val="5EB52E6F"/>
    <w:rsid w:val="5ECD6B57"/>
    <w:rsid w:val="5EF04AC4"/>
    <w:rsid w:val="5F09081F"/>
    <w:rsid w:val="5F1111AD"/>
    <w:rsid w:val="5F121A0D"/>
    <w:rsid w:val="5F133C74"/>
    <w:rsid w:val="5F2C64A1"/>
    <w:rsid w:val="5F39582E"/>
    <w:rsid w:val="5F3B689E"/>
    <w:rsid w:val="5F445D7A"/>
    <w:rsid w:val="5F45602C"/>
    <w:rsid w:val="5F4A58A7"/>
    <w:rsid w:val="5F5256E4"/>
    <w:rsid w:val="5F57147C"/>
    <w:rsid w:val="5F5A1B50"/>
    <w:rsid w:val="5F646936"/>
    <w:rsid w:val="5F764A5E"/>
    <w:rsid w:val="5F875872"/>
    <w:rsid w:val="5F8C52DB"/>
    <w:rsid w:val="5F8F73FB"/>
    <w:rsid w:val="5FA00A10"/>
    <w:rsid w:val="5FA4374A"/>
    <w:rsid w:val="5FA4380A"/>
    <w:rsid w:val="5FAC1F2F"/>
    <w:rsid w:val="5FB25387"/>
    <w:rsid w:val="5FC53509"/>
    <w:rsid w:val="5FD20829"/>
    <w:rsid w:val="5FD975B8"/>
    <w:rsid w:val="5FFE6C22"/>
    <w:rsid w:val="60000309"/>
    <w:rsid w:val="600B6B90"/>
    <w:rsid w:val="600C3224"/>
    <w:rsid w:val="60143AD3"/>
    <w:rsid w:val="601525DB"/>
    <w:rsid w:val="60207D74"/>
    <w:rsid w:val="60281FCD"/>
    <w:rsid w:val="603771DA"/>
    <w:rsid w:val="60403359"/>
    <w:rsid w:val="60462CBD"/>
    <w:rsid w:val="60490061"/>
    <w:rsid w:val="6085543E"/>
    <w:rsid w:val="608F18FF"/>
    <w:rsid w:val="60907882"/>
    <w:rsid w:val="609517E9"/>
    <w:rsid w:val="60BA49C6"/>
    <w:rsid w:val="60C5483E"/>
    <w:rsid w:val="60C867C5"/>
    <w:rsid w:val="60D3354A"/>
    <w:rsid w:val="60DB0800"/>
    <w:rsid w:val="60DE0DB6"/>
    <w:rsid w:val="60E315C7"/>
    <w:rsid w:val="60E54273"/>
    <w:rsid w:val="60E54809"/>
    <w:rsid w:val="60EF0896"/>
    <w:rsid w:val="61067A64"/>
    <w:rsid w:val="6112529A"/>
    <w:rsid w:val="611374AB"/>
    <w:rsid w:val="611F0B09"/>
    <w:rsid w:val="61200AAF"/>
    <w:rsid w:val="615D70C7"/>
    <w:rsid w:val="61626088"/>
    <w:rsid w:val="616C1F35"/>
    <w:rsid w:val="616E223F"/>
    <w:rsid w:val="617450D5"/>
    <w:rsid w:val="61757E74"/>
    <w:rsid w:val="618D14AD"/>
    <w:rsid w:val="61963257"/>
    <w:rsid w:val="61991091"/>
    <w:rsid w:val="619C38B4"/>
    <w:rsid w:val="61A4486B"/>
    <w:rsid w:val="61A649A4"/>
    <w:rsid w:val="61AA5B73"/>
    <w:rsid w:val="61AF5F70"/>
    <w:rsid w:val="61B5604D"/>
    <w:rsid w:val="61B774D7"/>
    <w:rsid w:val="61BC23E5"/>
    <w:rsid w:val="61C06748"/>
    <w:rsid w:val="61D21120"/>
    <w:rsid w:val="61E728F9"/>
    <w:rsid w:val="61E81164"/>
    <w:rsid w:val="61F3667F"/>
    <w:rsid w:val="620130AD"/>
    <w:rsid w:val="620A3B4E"/>
    <w:rsid w:val="62185165"/>
    <w:rsid w:val="623C62A9"/>
    <w:rsid w:val="62460FCD"/>
    <w:rsid w:val="62480FF0"/>
    <w:rsid w:val="624B14C1"/>
    <w:rsid w:val="625F7EC0"/>
    <w:rsid w:val="62630C6B"/>
    <w:rsid w:val="6271254E"/>
    <w:rsid w:val="627301E8"/>
    <w:rsid w:val="62757A61"/>
    <w:rsid w:val="62795747"/>
    <w:rsid w:val="6295194F"/>
    <w:rsid w:val="629A7081"/>
    <w:rsid w:val="62BA3B2B"/>
    <w:rsid w:val="62C37511"/>
    <w:rsid w:val="62D11C3F"/>
    <w:rsid w:val="62E157FC"/>
    <w:rsid w:val="62E81148"/>
    <w:rsid w:val="62E855C0"/>
    <w:rsid w:val="62EB6BF3"/>
    <w:rsid w:val="62F76986"/>
    <w:rsid w:val="63340EAE"/>
    <w:rsid w:val="633911DE"/>
    <w:rsid w:val="633B3A43"/>
    <w:rsid w:val="634B6A95"/>
    <w:rsid w:val="634E6F1F"/>
    <w:rsid w:val="635D4E8B"/>
    <w:rsid w:val="63615D3E"/>
    <w:rsid w:val="63646626"/>
    <w:rsid w:val="636C62BA"/>
    <w:rsid w:val="6381190C"/>
    <w:rsid w:val="63821D61"/>
    <w:rsid w:val="63827E36"/>
    <w:rsid w:val="63842477"/>
    <w:rsid w:val="6388704F"/>
    <w:rsid w:val="639F01F2"/>
    <w:rsid w:val="63A46CFE"/>
    <w:rsid w:val="63A85CD1"/>
    <w:rsid w:val="63AC042C"/>
    <w:rsid w:val="63B02C42"/>
    <w:rsid w:val="63C51AD9"/>
    <w:rsid w:val="63C54411"/>
    <w:rsid w:val="63C96A31"/>
    <w:rsid w:val="63CA4390"/>
    <w:rsid w:val="63CD27C8"/>
    <w:rsid w:val="63CF2629"/>
    <w:rsid w:val="63D23562"/>
    <w:rsid w:val="63E263F4"/>
    <w:rsid w:val="63E418C9"/>
    <w:rsid w:val="642A1FD9"/>
    <w:rsid w:val="642C5E1F"/>
    <w:rsid w:val="643F3FFC"/>
    <w:rsid w:val="64560C29"/>
    <w:rsid w:val="64622112"/>
    <w:rsid w:val="64662960"/>
    <w:rsid w:val="646D302F"/>
    <w:rsid w:val="64706C6F"/>
    <w:rsid w:val="64817FB9"/>
    <w:rsid w:val="64960C42"/>
    <w:rsid w:val="649A6134"/>
    <w:rsid w:val="649D2569"/>
    <w:rsid w:val="649F4316"/>
    <w:rsid w:val="64A21614"/>
    <w:rsid w:val="64A51362"/>
    <w:rsid w:val="64A55A03"/>
    <w:rsid w:val="64B453B1"/>
    <w:rsid w:val="650D6AA0"/>
    <w:rsid w:val="651A5C6A"/>
    <w:rsid w:val="6522790C"/>
    <w:rsid w:val="65285E75"/>
    <w:rsid w:val="65403733"/>
    <w:rsid w:val="65467C22"/>
    <w:rsid w:val="655754CB"/>
    <w:rsid w:val="655E2D72"/>
    <w:rsid w:val="65664D7E"/>
    <w:rsid w:val="657164F1"/>
    <w:rsid w:val="65833C4F"/>
    <w:rsid w:val="65835787"/>
    <w:rsid w:val="658B37B6"/>
    <w:rsid w:val="659C17EE"/>
    <w:rsid w:val="65AC6F31"/>
    <w:rsid w:val="65C132A7"/>
    <w:rsid w:val="65D70270"/>
    <w:rsid w:val="65E878FB"/>
    <w:rsid w:val="65EF020A"/>
    <w:rsid w:val="65F705B5"/>
    <w:rsid w:val="66032E7B"/>
    <w:rsid w:val="660A4152"/>
    <w:rsid w:val="661026AA"/>
    <w:rsid w:val="66325FD0"/>
    <w:rsid w:val="663D054E"/>
    <w:rsid w:val="6679372B"/>
    <w:rsid w:val="667E7B2A"/>
    <w:rsid w:val="66980BF6"/>
    <w:rsid w:val="66B81454"/>
    <w:rsid w:val="66BE1292"/>
    <w:rsid w:val="66BF76F1"/>
    <w:rsid w:val="66DC5BF8"/>
    <w:rsid w:val="66E173F9"/>
    <w:rsid w:val="66E3226C"/>
    <w:rsid w:val="66EC5E36"/>
    <w:rsid w:val="67086DE8"/>
    <w:rsid w:val="67181932"/>
    <w:rsid w:val="672A4901"/>
    <w:rsid w:val="67441B08"/>
    <w:rsid w:val="67513E69"/>
    <w:rsid w:val="675A17FE"/>
    <w:rsid w:val="678A44B2"/>
    <w:rsid w:val="678C1D52"/>
    <w:rsid w:val="679034E5"/>
    <w:rsid w:val="67A60A96"/>
    <w:rsid w:val="67C0536E"/>
    <w:rsid w:val="67C149C0"/>
    <w:rsid w:val="67C7427D"/>
    <w:rsid w:val="67CA7967"/>
    <w:rsid w:val="67CC38C5"/>
    <w:rsid w:val="67D9695E"/>
    <w:rsid w:val="67DC5CEA"/>
    <w:rsid w:val="67DF1018"/>
    <w:rsid w:val="67DF18A0"/>
    <w:rsid w:val="67E07483"/>
    <w:rsid w:val="67F367FA"/>
    <w:rsid w:val="680965F8"/>
    <w:rsid w:val="68146133"/>
    <w:rsid w:val="681777F7"/>
    <w:rsid w:val="68240EAA"/>
    <w:rsid w:val="683912C8"/>
    <w:rsid w:val="6850356A"/>
    <w:rsid w:val="685465AC"/>
    <w:rsid w:val="687442EE"/>
    <w:rsid w:val="689B3E14"/>
    <w:rsid w:val="689C5C1D"/>
    <w:rsid w:val="689F2FA0"/>
    <w:rsid w:val="68AD26AA"/>
    <w:rsid w:val="68BC14B0"/>
    <w:rsid w:val="68C20D16"/>
    <w:rsid w:val="68D74DFF"/>
    <w:rsid w:val="68DD619B"/>
    <w:rsid w:val="68FD5593"/>
    <w:rsid w:val="68FF4762"/>
    <w:rsid w:val="691B307E"/>
    <w:rsid w:val="6934218F"/>
    <w:rsid w:val="693C5AA5"/>
    <w:rsid w:val="693E13B7"/>
    <w:rsid w:val="6951205B"/>
    <w:rsid w:val="6953741D"/>
    <w:rsid w:val="696F3D82"/>
    <w:rsid w:val="69731101"/>
    <w:rsid w:val="697D087B"/>
    <w:rsid w:val="698B6C68"/>
    <w:rsid w:val="69964A70"/>
    <w:rsid w:val="699D0991"/>
    <w:rsid w:val="69A32275"/>
    <w:rsid w:val="69A7770D"/>
    <w:rsid w:val="69AC0B64"/>
    <w:rsid w:val="69B17013"/>
    <w:rsid w:val="69B27C94"/>
    <w:rsid w:val="69BA2288"/>
    <w:rsid w:val="69D4443C"/>
    <w:rsid w:val="69D537ED"/>
    <w:rsid w:val="69DC3AC1"/>
    <w:rsid w:val="69E41F0B"/>
    <w:rsid w:val="69F224F8"/>
    <w:rsid w:val="69F3790F"/>
    <w:rsid w:val="69F70C8A"/>
    <w:rsid w:val="69FE44EC"/>
    <w:rsid w:val="6A12415B"/>
    <w:rsid w:val="6A2750C5"/>
    <w:rsid w:val="6A290AA5"/>
    <w:rsid w:val="6A2960D9"/>
    <w:rsid w:val="6A2A46CE"/>
    <w:rsid w:val="6A3F4FDB"/>
    <w:rsid w:val="6A5165A7"/>
    <w:rsid w:val="6A532FF6"/>
    <w:rsid w:val="6A624E27"/>
    <w:rsid w:val="6A6957AE"/>
    <w:rsid w:val="6A7174A5"/>
    <w:rsid w:val="6A72508F"/>
    <w:rsid w:val="6A732254"/>
    <w:rsid w:val="6A774894"/>
    <w:rsid w:val="6A8270C1"/>
    <w:rsid w:val="6A8514B3"/>
    <w:rsid w:val="6A8650EE"/>
    <w:rsid w:val="6A8C3EFF"/>
    <w:rsid w:val="6A8D1506"/>
    <w:rsid w:val="6A937D23"/>
    <w:rsid w:val="6A9715DD"/>
    <w:rsid w:val="6A9B5915"/>
    <w:rsid w:val="6A9B7735"/>
    <w:rsid w:val="6AAF47C6"/>
    <w:rsid w:val="6AB45A03"/>
    <w:rsid w:val="6AB974D9"/>
    <w:rsid w:val="6ABC5FD0"/>
    <w:rsid w:val="6ABE4FFD"/>
    <w:rsid w:val="6ACE2775"/>
    <w:rsid w:val="6AED013C"/>
    <w:rsid w:val="6AF63F29"/>
    <w:rsid w:val="6B141260"/>
    <w:rsid w:val="6B285741"/>
    <w:rsid w:val="6B340EF1"/>
    <w:rsid w:val="6B3C3D7F"/>
    <w:rsid w:val="6B3D06AC"/>
    <w:rsid w:val="6B407D95"/>
    <w:rsid w:val="6B444BB7"/>
    <w:rsid w:val="6B4B2C3B"/>
    <w:rsid w:val="6B511725"/>
    <w:rsid w:val="6B512341"/>
    <w:rsid w:val="6B57604B"/>
    <w:rsid w:val="6B5B0A52"/>
    <w:rsid w:val="6B5D2504"/>
    <w:rsid w:val="6B7B15AA"/>
    <w:rsid w:val="6B7B7E06"/>
    <w:rsid w:val="6B95396B"/>
    <w:rsid w:val="6BA6017F"/>
    <w:rsid w:val="6BA711BA"/>
    <w:rsid w:val="6BA8262D"/>
    <w:rsid w:val="6BB31972"/>
    <w:rsid w:val="6BBB00B1"/>
    <w:rsid w:val="6BC03721"/>
    <w:rsid w:val="6BC3364B"/>
    <w:rsid w:val="6BCD7076"/>
    <w:rsid w:val="6BCF2DCA"/>
    <w:rsid w:val="6BDD0493"/>
    <w:rsid w:val="6BDE54AC"/>
    <w:rsid w:val="6BE6539C"/>
    <w:rsid w:val="6BF25C39"/>
    <w:rsid w:val="6C06150E"/>
    <w:rsid w:val="6C0A5E95"/>
    <w:rsid w:val="6C132A90"/>
    <w:rsid w:val="6C1E23A8"/>
    <w:rsid w:val="6C2000B9"/>
    <w:rsid w:val="6C21487B"/>
    <w:rsid w:val="6C263A06"/>
    <w:rsid w:val="6C3A624E"/>
    <w:rsid w:val="6C431738"/>
    <w:rsid w:val="6C441E31"/>
    <w:rsid w:val="6C505966"/>
    <w:rsid w:val="6C5D04BB"/>
    <w:rsid w:val="6C6F1F45"/>
    <w:rsid w:val="6C754C11"/>
    <w:rsid w:val="6C8E4315"/>
    <w:rsid w:val="6C95615F"/>
    <w:rsid w:val="6C9615E2"/>
    <w:rsid w:val="6CA94419"/>
    <w:rsid w:val="6CB242A2"/>
    <w:rsid w:val="6CB37C72"/>
    <w:rsid w:val="6CC818AD"/>
    <w:rsid w:val="6CCD0C59"/>
    <w:rsid w:val="6CD815AF"/>
    <w:rsid w:val="6CD85EF7"/>
    <w:rsid w:val="6CE0612A"/>
    <w:rsid w:val="6CE269D3"/>
    <w:rsid w:val="6CED284E"/>
    <w:rsid w:val="6CEE2316"/>
    <w:rsid w:val="6CF04EB7"/>
    <w:rsid w:val="6CF06E5B"/>
    <w:rsid w:val="6CF17872"/>
    <w:rsid w:val="6CF76712"/>
    <w:rsid w:val="6D033EFD"/>
    <w:rsid w:val="6D25402B"/>
    <w:rsid w:val="6D257268"/>
    <w:rsid w:val="6D274676"/>
    <w:rsid w:val="6D2F4B50"/>
    <w:rsid w:val="6D34242C"/>
    <w:rsid w:val="6D3643CB"/>
    <w:rsid w:val="6D373711"/>
    <w:rsid w:val="6D3C14B2"/>
    <w:rsid w:val="6D436625"/>
    <w:rsid w:val="6D5E64E8"/>
    <w:rsid w:val="6D652ED0"/>
    <w:rsid w:val="6D655F9F"/>
    <w:rsid w:val="6D662717"/>
    <w:rsid w:val="6D663299"/>
    <w:rsid w:val="6D776401"/>
    <w:rsid w:val="6DA71839"/>
    <w:rsid w:val="6DB20233"/>
    <w:rsid w:val="6DD9067A"/>
    <w:rsid w:val="6DEE5C62"/>
    <w:rsid w:val="6E0F320E"/>
    <w:rsid w:val="6E1B4CD0"/>
    <w:rsid w:val="6E1C4945"/>
    <w:rsid w:val="6E261EDD"/>
    <w:rsid w:val="6E2754CC"/>
    <w:rsid w:val="6E2E5F7B"/>
    <w:rsid w:val="6E34632F"/>
    <w:rsid w:val="6E376A3A"/>
    <w:rsid w:val="6E3F1C0F"/>
    <w:rsid w:val="6E45639A"/>
    <w:rsid w:val="6E532F90"/>
    <w:rsid w:val="6E5B47E7"/>
    <w:rsid w:val="6E633CB5"/>
    <w:rsid w:val="6E72570E"/>
    <w:rsid w:val="6E8B5E54"/>
    <w:rsid w:val="6E957DD6"/>
    <w:rsid w:val="6EAB29FB"/>
    <w:rsid w:val="6EAC7CEF"/>
    <w:rsid w:val="6EB32B7F"/>
    <w:rsid w:val="6EB46F18"/>
    <w:rsid w:val="6EBD4DFF"/>
    <w:rsid w:val="6EC73357"/>
    <w:rsid w:val="6EE24D6C"/>
    <w:rsid w:val="6EE939F2"/>
    <w:rsid w:val="6F01458A"/>
    <w:rsid w:val="6F021829"/>
    <w:rsid w:val="6F05543A"/>
    <w:rsid w:val="6F28474F"/>
    <w:rsid w:val="6F2C2D4B"/>
    <w:rsid w:val="6F384951"/>
    <w:rsid w:val="6F607895"/>
    <w:rsid w:val="6F61040C"/>
    <w:rsid w:val="6F6776E1"/>
    <w:rsid w:val="6F6B7953"/>
    <w:rsid w:val="6F6F1DF5"/>
    <w:rsid w:val="6F747B09"/>
    <w:rsid w:val="6F772CED"/>
    <w:rsid w:val="6F796566"/>
    <w:rsid w:val="6F7E1B78"/>
    <w:rsid w:val="6F937E6D"/>
    <w:rsid w:val="6F9C5D71"/>
    <w:rsid w:val="6FA3781E"/>
    <w:rsid w:val="6FAF0B5E"/>
    <w:rsid w:val="6FB66CB7"/>
    <w:rsid w:val="6FD772F5"/>
    <w:rsid w:val="6FE53444"/>
    <w:rsid w:val="6FF1528E"/>
    <w:rsid w:val="6FF83F9C"/>
    <w:rsid w:val="6FFB1E60"/>
    <w:rsid w:val="700C0460"/>
    <w:rsid w:val="700F7C86"/>
    <w:rsid w:val="70170F2B"/>
    <w:rsid w:val="701E2FAB"/>
    <w:rsid w:val="702267DC"/>
    <w:rsid w:val="70387A8F"/>
    <w:rsid w:val="70405A8C"/>
    <w:rsid w:val="704601E6"/>
    <w:rsid w:val="705D6C6C"/>
    <w:rsid w:val="70767F2C"/>
    <w:rsid w:val="707E62BB"/>
    <w:rsid w:val="709E640C"/>
    <w:rsid w:val="70B56633"/>
    <w:rsid w:val="70BB0D3E"/>
    <w:rsid w:val="70BE3FFF"/>
    <w:rsid w:val="70CF3906"/>
    <w:rsid w:val="70D7434B"/>
    <w:rsid w:val="70D91094"/>
    <w:rsid w:val="70DB76EF"/>
    <w:rsid w:val="711C4843"/>
    <w:rsid w:val="712D2ADB"/>
    <w:rsid w:val="71431855"/>
    <w:rsid w:val="7143374A"/>
    <w:rsid w:val="71526CE2"/>
    <w:rsid w:val="71536701"/>
    <w:rsid w:val="7161766A"/>
    <w:rsid w:val="716B5F96"/>
    <w:rsid w:val="718B3A9F"/>
    <w:rsid w:val="71936186"/>
    <w:rsid w:val="7194210F"/>
    <w:rsid w:val="71A14BD2"/>
    <w:rsid w:val="71AF2F66"/>
    <w:rsid w:val="71C96C07"/>
    <w:rsid w:val="71CD28DD"/>
    <w:rsid w:val="71D00811"/>
    <w:rsid w:val="71D531B2"/>
    <w:rsid w:val="71DA7C5F"/>
    <w:rsid w:val="71DE4C74"/>
    <w:rsid w:val="71E346E4"/>
    <w:rsid w:val="71E767FC"/>
    <w:rsid w:val="71EF5D41"/>
    <w:rsid w:val="71FA3B89"/>
    <w:rsid w:val="7202760A"/>
    <w:rsid w:val="72056436"/>
    <w:rsid w:val="72130B93"/>
    <w:rsid w:val="72256E6C"/>
    <w:rsid w:val="72326336"/>
    <w:rsid w:val="723749D7"/>
    <w:rsid w:val="724E54F1"/>
    <w:rsid w:val="725814FB"/>
    <w:rsid w:val="725925EA"/>
    <w:rsid w:val="72604E12"/>
    <w:rsid w:val="72726399"/>
    <w:rsid w:val="727334E4"/>
    <w:rsid w:val="727B2E39"/>
    <w:rsid w:val="72827328"/>
    <w:rsid w:val="728B509F"/>
    <w:rsid w:val="728F0A31"/>
    <w:rsid w:val="72A00E0B"/>
    <w:rsid w:val="72B72C41"/>
    <w:rsid w:val="72B751B8"/>
    <w:rsid w:val="72BF5663"/>
    <w:rsid w:val="72CE3184"/>
    <w:rsid w:val="72D456A5"/>
    <w:rsid w:val="72E70D52"/>
    <w:rsid w:val="72EA6B66"/>
    <w:rsid w:val="72FB65BF"/>
    <w:rsid w:val="72FF0D7A"/>
    <w:rsid w:val="73101940"/>
    <w:rsid w:val="731C28E7"/>
    <w:rsid w:val="732A4A9B"/>
    <w:rsid w:val="73343997"/>
    <w:rsid w:val="73370B0A"/>
    <w:rsid w:val="733C723A"/>
    <w:rsid w:val="733C7C6A"/>
    <w:rsid w:val="73442AB8"/>
    <w:rsid w:val="734A76B8"/>
    <w:rsid w:val="73690216"/>
    <w:rsid w:val="736A02D8"/>
    <w:rsid w:val="739B1EFF"/>
    <w:rsid w:val="739E0B28"/>
    <w:rsid w:val="73A16D22"/>
    <w:rsid w:val="73B1400F"/>
    <w:rsid w:val="73B35A93"/>
    <w:rsid w:val="73B858E9"/>
    <w:rsid w:val="73BA064C"/>
    <w:rsid w:val="73BB3C6E"/>
    <w:rsid w:val="73BF48E5"/>
    <w:rsid w:val="73CE1997"/>
    <w:rsid w:val="73DE1AB7"/>
    <w:rsid w:val="73EC7C9D"/>
    <w:rsid w:val="73FE01F8"/>
    <w:rsid w:val="741076D1"/>
    <w:rsid w:val="74215D04"/>
    <w:rsid w:val="742A0965"/>
    <w:rsid w:val="742D6DB6"/>
    <w:rsid w:val="74335FF7"/>
    <w:rsid w:val="745F5D37"/>
    <w:rsid w:val="745F71F0"/>
    <w:rsid w:val="74775754"/>
    <w:rsid w:val="7479225C"/>
    <w:rsid w:val="749225DF"/>
    <w:rsid w:val="74A83CD2"/>
    <w:rsid w:val="74B06962"/>
    <w:rsid w:val="74B22C5F"/>
    <w:rsid w:val="74B32215"/>
    <w:rsid w:val="74C46840"/>
    <w:rsid w:val="74D71DDE"/>
    <w:rsid w:val="74D86DFB"/>
    <w:rsid w:val="74DA5CB3"/>
    <w:rsid w:val="74E11F86"/>
    <w:rsid w:val="74FB509B"/>
    <w:rsid w:val="74FB6035"/>
    <w:rsid w:val="75020AE3"/>
    <w:rsid w:val="750934A8"/>
    <w:rsid w:val="750A15E4"/>
    <w:rsid w:val="75196993"/>
    <w:rsid w:val="75245483"/>
    <w:rsid w:val="752B3381"/>
    <w:rsid w:val="752D1D3E"/>
    <w:rsid w:val="752E76FA"/>
    <w:rsid w:val="75313F9B"/>
    <w:rsid w:val="753E57DB"/>
    <w:rsid w:val="75594581"/>
    <w:rsid w:val="75625A16"/>
    <w:rsid w:val="75663FD1"/>
    <w:rsid w:val="757955CC"/>
    <w:rsid w:val="757A709F"/>
    <w:rsid w:val="75955655"/>
    <w:rsid w:val="759B0C43"/>
    <w:rsid w:val="75C001C5"/>
    <w:rsid w:val="75C123A7"/>
    <w:rsid w:val="75CD2584"/>
    <w:rsid w:val="75F13C74"/>
    <w:rsid w:val="75F75D00"/>
    <w:rsid w:val="75F8074C"/>
    <w:rsid w:val="7600209C"/>
    <w:rsid w:val="760049B0"/>
    <w:rsid w:val="76070A73"/>
    <w:rsid w:val="761229E2"/>
    <w:rsid w:val="76177808"/>
    <w:rsid w:val="761F5272"/>
    <w:rsid w:val="76353BDB"/>
    <w:rsid w:val="763B42FB"/>
    <w:rsid w:val="763F1F92"/>
    <w:rsid w:val="76424474"/>
    <w:rsid w:val="76452780"/>
    <w:rsid w:val="764C7549"/>
    <w:rsid w:val="76690632"/>
    <w:rsid w:val="767469E2"/>
    <w:rsid w:val="76775F0B"/>
    <w:rsid w:val="76813938"/>
    <w:rsid w:val="76894819"/>
    <w:rsid w:val="76932317"/>
    <w:rsid w:val="769E22B1"/>
    <w:rsid w:val="76B153BA"/>
    <w:rsid w:val="76BE29DB"/>
    <w:rsid w:val="76C72CA0"/>
    <w:rsid w:val="76CD530F"/>
    <w:rsid w:val="76D67995"/>
    <w:rsid w:val="76ED0EF4"/>
    <w:rsid w:val="76F2295F"/>
    <w:rsid w:val="76F46FC3"/>
    <w:rsid w:val="76F50A9F"/>
    <w:rsid w:val="76FD2D1D"/>
    <w:rsid w:val="770A2C5B"/>
    <w:rsid w:val="77187F65"/>
    <w:rsid w:val="7729766A"/>
    <w:rsid w:val="773A62B8"/>
    <w:rsid w:val="774B3934"/>
    <w:rsid w:val="775F5B59"/>
    <w:rsid w:val="777B5F51"/>
    <w:rsid w:val="777D53E6"/>
    <w:rsid w:val="77847A56"/>
    <w:rsid w:val="778F49BD"/>
    <w:rsid w:val="77966F4C"/>
    <w:rsid w:val="77992314"/>
    <w:rsid w:val="779F7385"/>
    <w:rsid w:val="77A75021"/>
    <w:rsid w:val="77B4796D"/>
    <w:rsid w:val="77B8689C"/>
    <w:rsid w:val="77BE64F2"/>
    <w:rsid w:val="77C2510C"/>
    <w:rsid w:val="77C833A2"/>
    <w:rsid w:val="77DE3888"/>
    <w:rsid w:val="78036043"/>
    <w:rsid w:val="781838FF"/>
    <w:rsid w:val="781B3886"/>
    <w:rsid w:val="781D4587"/>
    <w:rsid w:val="78296540"/>
    <w:rsid w:val="78347B12"/>
    <w:rsid w:val="78375EBD"/>
    <w:rsid w:val="7888219B"/>
    <w:rsid w:val="788908C8"/>
    <w:rsid w:val="78BC539D"/>
    <w:rsid w:val="78BD19C3"/>
    <w:rsid w:val="78C134B0"/>
    <w:rsid w:val="78D97F0E"/>
    <w:rsid w:val="78DA009A"/>
    <w:rsid w:val="78DC2FA9"/>
    <w:rsid w:val="78DE208A"/>
    <w:rsid w:val="78F40C87"/>
    <w:rsid w:val="78FC7FC2"/>
    <w:rsid w:val="791474A8"/>
    <w:rsid w:val="79176206"/>
    <w:rsid w:val="79213934"/>
    <w:rsid w:val="793F2FD4"/>
    <w:rsid w:val="7940572D"/>
    <w:rsid w:val="79440313"/>
    <w:rsid w:val="79461391"/>
    <w:rsid w:val="794B4D74"/>
    <w:rsid w:val="79501475"/>
    <w:rsid w:val="795A5499"/>
    <w:rsid w:val="796C74CF"/>
    <w:rsid w:val="796D4A8C"/>
    <w:rsid w:val="796E35F2"/>
    <w:rsid w:val="7971290E"/>
    <w:rsid w:val="79757A34"/>
    <w:rsid w:val="79A15149"/>
    <w:rsid w:val="79A37CCA"/>
    <w:rsid w:val="79AE4627"/>
    <w:rsid w:val="79B45959"/>
    <w:rsid w:val="79C24EDF"/>
    <w:rsid w:val="79C95AED"/>
    <w:rsid w:val="79E12ED9"/>
    <w:rsid w:val="79E352FF"/>
    <w:rsid w:val="79E35304"/>
    <w:rsid w:val="79ED6701"/>
    <w:rsid w:val="79FB2D0B"/>
    <w:rsid w:val="7A0F1525"/>
    <w:rsid w:val="7A1420E7"/>
    <w:rsid w:val="7A1E57BF"/>
    <w:rsid w:val="7A4D07BA"/>
    <w:rsid w:val="7A5863D3"/>
    <w:rsid w:val="7A5A50F7"/>
    <w:rsid w:val="7A64499E"/>
    <w:rsid w:val="7A6656B6"/>
    <w:rsid w:val="7A723F72"/>
    <w:rsid w:val="7A743D9C"/>
    <w:rsid w:val="7A803944"/>
    <w:rsid w:val="7A9123B7"/>
    <w:rsid w:val="7A9711EE"/>
    <w:rsid w:val="7A9C3E5C"/>
    <w:rsid w:val="7AA952CF"/>
    <w:rsid w:val="7ACD2D7F"/>
    <w:rsid w:val="7AD27B42"/>
    <w:rsid w:val="7AFE18D8"/>
    <w:rsid w:val="7B112635"/>
    <w:rsid w:val="7B18546A"/>
    <w:rsid w:val="7B214978"/>
    <w:rsid w:val="7B237528"/>
    <w:rsid w:val="7B360408"/>
    <w:rsid w:val="7B4A5781"/>
    <w:rsid w:val="7B603C7C"/>
    <w:rsid w:val="7B6C306B"/>
    <w:rsid w:val="7B6E2AB1"/>
    <w:rsid w:val="7B771CED"/>
    <w:rsid w:val="7B9422CC"/>
    <w:rsid w:val="7BA521BC"/>
    <w:rsid w:val="7BB145C1"/>
    <w:rsid w:val="7BB2241E"/>
    <w:rsid w:val="7BC17EBE"/>
    <w:rsid w:val="7BC43666"/>
    <w:rsid w:val="7BC8293C"/>
    <w:rsid w:val="7BC87053"/>
    <w:rsid w:val="7BDE0174"/>
    <w:rsid w:val="7BE131F6"/>
    <w:rsid w:val="7BF11348"/>
    <w:rsid w:val="7C2F6A80"/>
    <w:rsid w:val="7C5D7259"/>
    <w:rsid w:val="7C610C91"/>
    <w:rsid w:val="7C613AEC"/>
    <w:rsid w:val="7C815D2A"/>
    <w:rsid w:val="7C831756"/>
    <w:rsid w:val="7C97070B"/>
    <w:rsid w:val="7CB62523"/>
    <w:rsid w:val="7CD11CF7"/>
    <w:rsid w:val="7CE70935"/>
    <w:rsid w:val="7CF7383C"/>
    <w:rsid w:val="7CF84A31"/>
    <w:rsid w:val="7CFC44C2"/>
    <w:rsid w:val="7CFD061D"/>
    <w:rsid w:val="7D013B39"/>
    <w:rsid w:val="7D0826CA"/>
    <w:rsid w:val="7D130509"/>
    <w:rsid w:val="7D1946C0"/>
    <w:rsid w:val="7D2016E3"/>
    <w:rsid w:val="7D2A5CCB"/>
    <w:rsid w:val="7D3066E8"/>
    <w:rsid w:val="7D3B5963"/>
    <w:rsid w:val="7D401CAA"/>
    <w:rsid w:val="7D41596A"/>
    <w:rsid w:val="7D4B3EB7"/>
    <w:rsid w:val="7D57772D"/>
    <w:rsid w:val="7D5B6A59"/>
    <w:rsid w:val="7D64087E"/>
    <w:rsid w:val="7D657DD7"/>
    <w:rsid w:val="7D7F5298"/>
    <w:rsid w:val="7D8024C9"/>
    <w:rsid w:val="7DAB10BD"/>
    <w:rsid w:val="7DD7657D"/>
    <w:rsid w:val="7DDA706F"/>
    <w:rsid w:val="7DE16F8F"/>
    <w:rsid w:val="7DF464FC"/>
    <w:rsid w:val="7DFA44C8"/>
    <w:rsid w:val="7E006A11"/>
    <w:rsid w:val="7E096EBB"/>
    <w:rsid w:val="7E1C55F3"/>
    <w:rsid w:val="7E21795F"/>
    <w:rsid w:val="7E241FE4"/>
    <w:rsid w:val="7E347694"/>
    <w:rsid w:val="7E365D05"/>
    <w:rsid w:val="7E3B5911"/>
    <w:rsid w:val="7E3E0B9D"/>
    <w:rsid w:val="7E4179A7"/>
    <w:rsid w:val="7E495416"/>
    <w:rsid w:val="7E497873"/>
    <w:rsid w:val="7E5773E1"/>
    <w:rsid w:val="7E60501C"/>
    <w:rsid w:val="7E750E81"/>
    <w:rsid w:val="7E884A7F"/>
    <w:rsid w:val="7E8E6E3B"/>
    <w:rsid w:val="7E9044A6"/>
    <w:rsid w:val="7E922E52"/>
    <w:rsid w:val="7EA87297"/>
    <w:rsid w:val="7EB2081D"/>
    <w:rsid w:val="7EC57DB4"/>
    <w:rsid w:val="7ED55364"/>
    <w:rsid w:val="7ED61FF8"/>
    <w:rsid w:val="7EDE204C"/>
    <w:rsid w:val="7EDE52DA"/>
    <w:rsid w:val="7EEC4A0C"/>
    <w:rsid w:val="7EEF5C7E"/>
    <w:rsid w:val="7EFD26CF"/>
    <w:rsid w:val="7F085E6E"/>
    <w:rsid w:val="7F090A0E"/>
    <w:rsid w:val="7F0C0396"/>
    <w:rsid w:val="7F0F1F60"/>
    <w:rsid w:val="7F160CCE"/>
    <w:rsid w:val="7F161A46"/>
    <w:rsid w:val="7F18438A"/>
    <w:rsid w:val="7F33076F"/>
    <w:rsid w:val="7F524681"/>
    <w:rsid w:val="7F674851"/>
    <w:rsid w:val="7F681DA6"/>
    <w:rsid w:val="7F6D3D04"/>
    <w:rsid w:val="7F7D40BB"/>
    <w:rsid w:val="7FA069EC"/>
    <w:rsid w:val="7FB666CF"/>
    <w:rsid w:val="7FDA2CD0"/>
    <w:rsid w:val="7FE96579"/>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6"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0"/>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3"/>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9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11">
    <w:name w:val="caption"/>
    <w:basedOn w:val="1"/>
    <w:next w:val="1"/>
    <w:link w:val="80"/>
    <w:qFormat/>
    <w:uiPriority w:val="0"/>
    <w:pPr>
      <w:widowControl/>
      <w:spacing w:before="152" w:after="160"/>
    </w:pPr>
    <w:rPr>
      <w:rFonts w:ascii="Arial" w:hAnsi="Arial" w:eastAsia="黑体"/>
      <w:kern w:val="0"/>
      <w:sz w:val="20"/>
      <w:szCs w:val="20"/>
    </w:rPr>
  </w:style>
  <w:style w:type="paragraph" w:styleId="12">
    <w:name w:val="Document Map"/>
    <w:basedOn w:val="1"/>
    <w:link w:val="61"/>
    <w:unhideWhenUsed/>
    <w:qFormat/>
    <w:uiPriority w:val="99"/>
    <w:rPr>
      <w:rFonts w:ascii="宋体"/>
      <w:kern w:val="0"/>
      <w:sz w:val="18"/>
      <w:szCs w:val="18"/>
    </w:rPr>
  </w:style>
  <w:style w:type="paragraph" w:styleId="13">
    <w:name w:val="annotation text"/>
    <w:basedOn w:val="1"/>
    <w:link w:val="62"/>
    <w:unhideWhenUsed/>
    <w:qFormat/>
    <w:uiPriority w:val="99"/>
    <w:rPr>
      <w:sz w:val="20"/>
      <w:szCs w:val="20"/>
    </w:rPr>
  </w:style>
  <w:style w:type="paragraph" w:styleId="14">
    <w:name w:val="Body Text"/>
    <w:basedOn w:val="1"/>
    <w:link w:val="5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84"/>
    <w:unhideWhenUsed/>
    <w:qFormat/>
    <w:uiPriority w:val="99"/>
    <w:rPr>
      <w:sz w:val="18"/>
      <w:szCs w:val="18"/>
    </w:rPr>
  </w:style>
  <w:style w:type="paragraph" w:styleId="18">
    <w:name w:val="footer"/>
    <w:basedOn w:val="19"/>
    <w:link w:val="86"/>
    <w:unhideWhenUsed/>
    <w:qFormat/>
    <w:uiPriority w:val="99"/>
    <w:pPr>
      <w:tabs>
        <w:tab w:val="center" w:pos="4153"/>
        <w:tab w:val="right" w:pos="8306"/>
      </w:tabs>
      <w:snapToGrid w:val="0"/>
      <w:jc w:val="left"/>
    </w:pPr>
    <w:rPr>
      <w:kern w:val="0"/>
      <w:sz w:val="18"/>
      <w:szCs w:val="18"/>
    </w:rPr>
  </w:style>
  <w:style w:type="paragraph" w:styleId="19">
    <w:name w:val="header"/>
    <w:basedOn w:val="1"/>
    <w:link w:val="7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Body Text 2"/>
    <w:basedOn w:val="1"/>
    <w:qFormat/>
    <w:uiPriority w:val="6"/>
    <w:pPr>
      <w:ind w:left="709"/>
      <w:jc w:val="both"/>
    </w:pPr>
    <w:rPr>
      <w:rFonts w:ascii="Times New Roman" w:hAnsi="Times New Roman"/>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3"/>
    <w:next w:val="13"/>
    <w:link w:val="58"/>
    <w:unhideWhenUsed/>
    <w:qFormat/>
    <w:uiPriority w:val="99"/>
    <w:rPr>
      <w:b/>
      <w:bCs/>
    </w:rPr>
  </w:style>
  <w:style w:type="table" w:styleId="24">
    <w:name w:val="Table Grid"/>
    <w:basedOn w:val="2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rFonts w:ascii="Calibri" w:hAnsi="Calibri" w:eastAsia="宋体" w:cs="Calibri"/>
      <w:bCs/>
      <w:sz w:val="24"/>
    </w:rPr>
  </w:style>
  <w:style w:type="character" w:styleId="27">
    <w:name w:val="FollowedHyperlink"/>
    <w:basedOn w:val="25"/>
    <w:unhideWhenUsed/>
    <w:qFormat/>
    <w:uiPriority w:val="99"/>
    <w:rPr>
      <w:color w:val="771CAA"/>
      <w:u w:val="single"/>
    </w:rPr>
  </w:style>
  <w:style w:type="character" w:styleId="28">
    <w:name w:val="Emphasis"/>
    <w:basedOn w:val="25"/>
    <w:qFormat/>
    <w:uiPriority w:val="20"/>
    <w:rPr>
      <w:color w:val="F73131"/>
    </w:rPr>
  </w:style>
  <w:style w:type="character" w:styleId="29">
    <w:name w:val="Hyperlink"/>
    <w:basedOn w:val="25"/>
    <w:qFormat/>
    <w:uiPriority w:val="0"/>
    <w:rPr>
      <w:color w:val="2440B3"/>
      <w:u w:val="single"/>
    </w:rPr>
  </w:style>
  <w:style w:type="character" w:styleId="30">
    <w:name w:val="annotation reference"/>
    <w:unhideWhenUsed/>
    <w:qFormat/>
    <w:uiPriority w:val="99"/>
    <w:rPr>
      <w:sz w:val="16"/>
      <w:szCs w:val="16"/>
    </w:rPr>
  </w:style>
  <w:style w:type="character" w:styleId="31">
    <w:name w:val="HTML Cite"/>
    <w:basedOn w:val="25"/>
    <w:unhideWhenUsed/>
    <w:qFormat/>
    <w:uiPriority w:val="99"/>
    <w:rPr>
      <w:color w:val="008000"/>
    </w:rPr>
  </w:style>
  <w:style w:type="paragraph" w:customStyle="1" w:styleId="32">
    <w:name w:val="B1"/>
    <w:basedOn w:val="16"/>
    <w:link w:val="8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3">
    <w:name w:val="TAH"/>
    <w:basedOn w:val="34"/>
    <w:link w:val="68"/>
    <w:qFormat/>
    <w:uiPriority w:val="0"/>
    <w:rPr>
      <w:b/>
    </w:rPr>
  </w:style>
  <w:style w:type="paragraph" w:customStyle="1" w:styleId="34">
    <w:name w:val="TAC"/>
    <w:basedOn w:val="35"/>
    <w:link w:val="79"/>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TAL"/>
    <w:basedOn w:val="1"/>
    <w:link w:val="7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EQ"/>
    <w:basedOn w:val="1"/>
    <w:next w:val="1"/>
    <w:qFormat/>
    <w:uiPriority w:val="0"/>
    <w:pPr>
      <w:keepLines/>
      <w:tabs>
        <w:tab w:val="center" w:pos="4536"/>
        <w:tab w:val="right" w:pos="9072"/>
      </w:tabs>
    </w:p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4">
    <w:name w:val="char char"/>
    <w:basedOn w:val="40"/>
    <w:link w:val="76"/>
    <w:qFormat/>
    <w:uiPriority w:val="0"/>
    <w:pPr>
      <w:spacing w:before="180" w:after="120"/>
      <w:outlineLvl w:val="1"/>
    </w:pPr>
    <w:rPr>
      <w:rFonts w:ascii="Arial" w:hAnsi="Arial"/>
      <w:sz w:val="28"/>
      <w:szCs w:val="32"/>
    </w:rPr>
  </w:style>
  <w:style w:type="paragraph" w:customStyle="1" w:styleId="45">
    <w:name w:val="TF"/>
    <w:basedOn w:val="46"/>
    <w:qFormat/>
    <w:uiPriority w:val="0"/>
    <w:pPr>
      <w:keepNext w:val="0"/>
      <w:spacing w:before="0" w:after="240"/>
    </w:pPr>
  </w:style>
  <w:style w:type="paragraph" w:customStyle="1" w:styleId="46">
    <w:name w:val="TH"/>
    <w:basedOn w:val="1"/>
    <w:link w:val="5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TAN"/>
    <w:basedOn w:val="35"/>
    <w:link w:val="8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9">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50">
    <w:name w:val="NO"/>
    <w:basedOn w:val="1"/>
    <w:link w:val="9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51">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54">
    <w:name w:val="hover18"/>
    <w:basedOn w:val="25"/>
    <w:qFormat/>
    <w:uiPriority w:val="0"/>
  </w:style>
  <w:style w:type="character" w:customStyle="1" w:styleId="55">
    <w:name w:val="hover28"/>
    <w:basedOn w:val="25"/>
    <w:qFormat/>
    <w:uiPriority w:val="0"/>
    <w:rPr>
      <w:u w:val="single"/>
    </w:rPr>
  </w:style>
  <w:style w:type="character" w:customStyle="1" w:styleId="56">
    <w:name w:val="TH Char"/>
    <w:link w:val="46"/>
    <w:qFormat/>
    <w:uiPriority w:val="0"/>
    <w:rPr>
      <w:rFonts w:ascii="Arial" w:hAnsi="Arial" w:eastAsia="宋体"/>
      <w:b/>
      <w:bCs/>
      <w:lang w:val="en-GB"/>
    </w:rPr>
  </w:style>
  <w:style w:type="character" w:customStyle="1" w:styleId="57">
    <w:name w:val="正文1 Char"/>
    <w:link w:val="40"/>
    <w:qFormat/>
    <w:uiPriority w:val="0"/>
    <w:rPr>
      <w:rFonts w:ascii="Times New Roman" w:hAnsi="Times New Roman" w:eastAsia="宋体" w:cs="Times New Roman"/>
      <w:kern w:val="0"/>
      <w:sz w:val="20"/>
      <w:szCs w:val="20"/>
    </w:rPr>
  </w:style>
  <w:style w:type="character" w:customStyle="1" w:styleId="58">
    <w:name w:val="Comment Subject Char"/>
    <w:link w:val="22"/>
    <w:semiHidden/>
    <w:qFormat/>
    <w:uiPriority w:val="99"/>
    <w:rPr>
      <w:b/>
      <w:bCs/>
      <w:kern w:val="2"/>
      <w:lang w:eastAsia="zh-CN"/>
    </w:rPr>
  </w:style>
  <w:style w:type="character" w:customStyle="1" w:styleId="59">
    <w:name w:val="hover24"/>
    <w:basedOn w:val="25"/>
    <w:qFormat/>
    <w:uiPriority w:val="0"/>
    <w:rPr>
      <w:color w:val="315EFB"/>
    </w:rPr>
  </w:style>
  <w:style w:type="character" w:customStyle="1" w:styleId="60">
    <w:name w:val="Heading 2 Char"/>
    <w:link w:val="3"/>
    <w:qFormat/>
    <w:uiPriority w:val="0"/>
    <w:rPr>
      <w:rFonts w:ascii="Arial" w:hAnsi="Arial"/>
      <w:sz w:val="32"/>
      <w:lang w:eastAsia="en-US"/>
    </w:rPr>
  </w:style>
  <w:style w:type="character" w:customStyle="1" w:styleId="61">
    <w:name w:val="Document Map Char"/>
    <w:link w:val="12"/>
    <w:semiHidden/>
    <w:qFormat/>
    <w:uiPriority w:val="99"/>
    <w:rPr>
      <w:rFonts w:ascii="宋体" w:eastAsia="宋体"/>
      <w:sz w:val="18"/>
      <w:szCs w:val="18"/>
    </w:rPr>
  </w:style>
  <w:style w:type="character" w:customStyle="1" w:styleId="62">
    <w:name w:val="Comment Text Char"/>
    <w:link w:val="13"/>
    <w:semiHidden/>
    <w:qFormat/>
    <w:uiPriority w:val="99"/>
    <w:rPr>
      <w:kern w:val="2"/>
      <w:lang w:eastAsia="zh-CN"/>
    </w:rPr>
  </w:style>
  <w:style w:type="character" w:customStyle="1" w:styleId="63">
    <w:name w:val="Heading 5 Char"/>
    <w:link w:val="6"/>
    <w:qFormat/>
    <w:uiPriority w:val="0"/>
    <w:rPr>
      <w:rFonts w:ascii="Arial" w:hAnsi="Arial" w:eastAsia="宋体"/>
      <w:sz w:val="22"/>
      <w:lang w:val="en-GB" w:eastAsia="en-US"/>
    </w:rPr>
  </w:style>
  <w:style w:type="character" w:customStyle="1" w:styleId="64">
    <w:name w:val="hover17"/>
    <w:basedOn w:val="25"/>
    <w:qFormat/>
    <w:uiPriority w:val="0"/>
    <w:rPr>
      <w:color w:val="315EFB"/>
    </w:rPr>
  </w:style>
  <w:style w:type="character" w:customStyle="1" w:styleId="65">
    <w:name w:val="hover27"/>
    <w:basedOn w:val="25"/>
    <w:qFormat/>
    <w:uiPriority w:val="0"/>
    <w:rPr>
      <w:color w:val="315EFB"/>
    </w:rPr>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TAH Car"/>
    <w:link w:val="33"/>
    <w:qFormat/>
    <w:uiPriority w:val="0"/>
    <w:rPr>
      <w:rFonts w:ascii="Arial" w:hAnsi="Arial" w:eastAsia="Times New Roman" w:cs="Times New Roman"/>
      <w:b/>
      <w:kern w:val="0"/>
      <w:sz w:val="18"/>
      <w:szCs w:val="20"/>
      <w:lang w:val="en-GB" w:eastAsia="ja-JP"/>
    </w:rPr>
  </w:style>
  <w:style w:type="character" w:customStyle="1" w:styleId="69">
    <w:name w:val="hover26"/>
    <w:basedOn w:val="25"/>
    <w:qFormat/>
    <w:uiPriority w:val="0"/>
  </w:style>
  <w:style w:type="character" w:customStyle="1" w:styleId="70">
    <w:name w:val="op_dict_text2"/>
    <w:basedOn w:val="25"/>
    <w:qFormat/>
    <w:uiPriority w:val="0"/>
  </w:style>
  <w:style w:type="character" w:customStyle="1" w:styleId="71">
    <w:name w:val="op_dict3_lineone_result_tip"/>
    <w:basedOn w:val="25"/>
    <w:qFormat/>
    <w:uiPriority w:val="0"/>
  </w:style>
  <w:style w:type="character" w:customStyle="1" w:styleId="72">
    <w:name w:val="Heading 8 Char"/>
    <w:link w:val="9"/>
    <w:qFormat/>
    <w:uiPriority w:val="0"/>
    <w:rPr>
      <w:rFonts w:ascii="Arial" w:hAnsi="Arial" w:eastAsia="宋体"/>
      <w:sz w:val="36"/>
      <w:lang w:val="en-GB" w:eastAsia="en-US"/>
    </w:rPr>
  </w:style>
  <w:style w:type="character" w:customStyle="1" w:styleId="73">
    <w:name w:val="TAL Char"/>
    <w:link w:val="35"/>
    <w:qFormat/>
    <w:uiPriority w:val="0"/>
    <w:rPr>
      <w:rFonts w:ascii="Arial" w:hAnsi="Arial"/>
      <w:sz w:val="18"/>
      <w:lang w:val="en-GB" w:eastAsia="en-US"/>
    </w:rPr>
  </w:style>
  <w:style w:type="character" w:customStyle="1" w:styleId="74">
    <w:name w:val="Header Char"/>
    <w:link w:val="19"/>
    <w:qFormat/>
    <w:uiPriority w:val="99"/>
    <w:rPr>
      <w:sz w:val="18"/>
      <w:szCs w:val="18"/>
    </w:rPr>
  </w:style>
  <w:style w:type="character" w:customStyle="1" w:styleId="75">
    <w:name w:val="Char Char"/>
    <w:link w:val="36"/>
    <w:qFormat/>
    <w:uiPriority w:val="0"/>
    <w:rPr>
      <w:rFonts w:ascii="Arial" w:hAnsi="Arial"/>
      <w:sz w:val="32"/>
      <w:szCs w:val="36"/>
    </w:rPr>
  </w:style>
  <w:style w:type="character" w:customStyle="1" w:styleId="76">
    <w:name w:val="char char Char"/>
    <w:link w:val="44"/>
    <w:qFormat/>
    <w:uiPriority w:val="0"/>
    <w:rPr>
      <w:rFonts w:ascii="Arial" w:hAnsi="Arial" w:eastAsia="宋体" w:cs="Times New Roman"/>
      <w:kern w:val="0"/>
      <w:sz w:val="28"/>
      <w:szCs w:val="32"/>
    </w:rPr>
  </w:style>
  <w:style w:type="character" w:customStyle="1" w:styleId="77">
    <w:name w:val="char char char Char"/>
    <w:link w:val="43"/>
    <w:qFormat/>
    <w:uiPriority w:val="0"/>
    <w:rPr>
      <w:rFonts w:ascii="Arial" w:hAnsi="Arial" w:eastAsia="宋体" w:cs="Times New Roman"/>
      <w:kern w:val="0"/>
      <w:sz w:val="24"/>
      <w:szCs w:val="28"/>
    </w:rPr>
  </w:style>
  <w:style w:type="character" w:customStyle="1" w:styleId="78">
    <w:name w:val="keyword"/>
    <w:basedOn w:val="25"/>
    <w:qFormat/>
    <w:uiPriority w:val="0"/>
  </w:style>
  <w:style w:type="character" w:customStyle="1" w:styleId="79">
    <w:name w:val="TAC Char"/>
    <w:link w:val="34"/>
    <w:qFormat/>
    <w:uiPriority w:val="0"/>
    <w:rPr>
      <w:rFonts w:ascii="Arial" w:hAnsi="Arial" w:eastAsia="Times New Roman" w:cs="Times New Roman"/>
      <w:kern w:val="0"/>
      <w:sz w:val="18"/>
      <w:szCs w:val="20"/>
      <w:lang w:val="en-GB" w:eastAsia="ja-JP"/>
    </w:rPr>
  </w:style>
  <w:style w:type="character" w:customStyle="1" w:styleId="80">
    <w:name w:val="Caption Char"/>
    <w:link w:val="11"/>
    <w:qFormat/>
    <w:uiPriority w:val="0"/>
    <w:rPr>
      <w:rFonts w:ascii="Arial" w:hAnsi="Arial" w:eastAsia="黑体"/>
    </w:rPr>
  </w:style>
  <w:style w:type="character" w:customStyle="1" w:styleId="81">
    <w:name w:val="TAN Char"/>
    <w:link w:val="47"/>
    <w:qFormat/>
    <w:uiPriority w:val="0"/>
    <w:rPr>
      <w:rFonts w:ascii="Arial" w:hAnsi="Arial" w:eastAsia="宋体"/>
      <w:sz w:val="18"/>
      <w:szCs w:val="18"/>
      <w:lang w:val="en-GB"/>
    </w:rPr>
  </w:style>
  <w:style w:type="character" w:customStyle="1" w:styleId="82">
    <w:name w:val="hover23"/>
    <w:basedOn w:val="25"/>
    <w:qFormat/>
    <w:uiPriority w:val="0"/>
  </w:style>
  <w:style w:type="character" w:customStyle="1" w:styleId="83">
    <w:name w:val="c-icon"/>
    <w:basedOn w:val="25"/>
    <w:qFormat/>
    <w:uiPriority w:val="0"/>
  </w:style>
  <w:style w:type="character" w:customStyle="1" w:styleId="84">
    <w:name w:val="Balloon Text Char"/>
    <w:link w:val="17"/>
    <w:semiHidden/>
    <w:qFormat/>
    <w:uiPriority w:val="99"/>
    <w:rPr>
      <w:kern w:val="2"/>
      <w:sz w:val="18"/>
      <w:szCs w:val="18"/>
    </w:rPr>
  </w:style>
  <w:style w:type="character" w:customStyle="1" w:styleId="85">
    <w:name w:val="c-icon28"/>
    <w:basedOn w:val="25"/>
    <w:qFormat/>
    <w:uiPriority w:val="0"/>
  </w:style>
  <w:style w:type="character" w:customStyle="1" w:styleId="86">
    <w:name w:val="Footer Char"/>
    <w:link w:val="18"/>
    <w:qFormat/>
    <w:uiPriority w:val="99"/>
    <w:rPr>
      <w:sz w:val="18"/>
      <w:szCs w:val="18"/>
    </w:rPr>
  </w:style>
  <w:style w:type="character" w:customStyle="1" w:styleId="87">
    <w:name w:val="Heading 1 Char"/>
    <w:link w:val="2"/>
    <w:qFormat/>
    <w:uiPriority w:val="9"/>
    <w:rPr>
      <w:rFonts w:ascii="Cambria" w:hAnsi="Cambria" w:eastAsia="宋体" w:cs="Times New Roman"/>
      <w:b/>
      <w:bCs/>
      <w:kern w:val="32"/>
      <w:sz w:val="32"/>
      <w:szCs w:val="32"/>
      <w:lang w:val="en-US"/>
    </w:rPr>
  </w:style>
  <w:style w:type="character" w:customStyle="1" w:styleId="88">
    <w:name w:val="B1 Char"/>
    <w:link w:val="32"/>
    <w:qFormat/>
    <w:uiPriority w:val="0"/>
    <w:rPr>
      <w:rFonts w:ascii="Times New Roman" w:hAnsi="Times New Roman" w:eastAsia="MS Mincho"/>
      <w:lang w:val="en-GB" w:eastAsia="de-DE"/>
    </w:rPr>
  </w:style>
  <w:style w:type="character" w:customStyle="1" w:styleId="89">
    <w:name w:val="hover25"/>
    <w:basedOn w:val="25"/>
    <w:qFormat/>
    <w:uiPriority w:val="0"/>
  </w:style>
  <w:style w:type="character" w:customStyle="1" w:styleId="90">
    <w:name w:val="Heading 3 Char"/>
    <w:link w:val="4"/>
    <w:qFormat/>
    <w:uiPriority w:val="0"/>
    <w:rPr>
      <w:rFonts w:ascii="Arial" w:hAnsi="Arial"/>
      <w:sz w:val="28"/>
      <w:lang w:eastAsia="en-US"/>
    </w:rPr>
  </w:style>
  <w:style w:type="character" w:customStyle="1" w:styleId="91">
    <w:name w:val="NO Char"/>
    <w:link w:val="50"/>
    <w:qFormat/>
    <w:uiPriority w:val="0"/>
    <w:rPr>
      <w:rFonts w:ascii="Times New Roman" w:hAnsi="Times New Roman" w:eastAsia="Times New Roman"/>
      <w:lang w:val="en-GB"/>
    </w:rPr>
  </w:style>
  <w:style w:type="character" w:customStyle="1" w:styleId="92">
    <w:name w:val="Heading 4 Char"/>
    <w:link w:val="5"/>
    <w:qFormat/>
    <w:uiPriority w:val="0"/>
    <w:rPr>
      <w:rFonts w:ascii="Arial" w:hAnsi="Arial" w:eastAsia="宋体"/>
      <w:sz w:val="24"/>
      <w:lang w:val="en-GB" w:eastAsia="en-US"/>
    </w:rPr>
  </w:style>
  <w:style w:type="character" w:customStyle="1" w:styleId="93">
    <w:name w:val="Heading 7 Char"/>
    <w:link w:val="8"/>
    <w:qFormat/>
    <w:uiPriority w:val="0"/>
    <w:rPr>
      <w:rFonts w:ascii="Arial" w:hAnsi="Arial" w:eastAsia="宋体"/>
      <w:lang w:val="en-GB" w:eastAsia="en-US"/>
    </w:rPr>
  </w:style>
  <w:style w:type="character" w:customStyle="1" w:styleId="94">
    <w:name w:val="msoins"/>
    <w:basedOn w:val="25"/>
    <w:qFormat/>
    <w:uiPriority w:val="0"/>
  </w:style>
  <w:style w:type="table" w:customStyle="1" w:styleId="95">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1.wmf"/><Relationship Id="rId17" Type="http://schemas.openxmlformats.org/officeDocument/2006/relationships/oleObject" Target="embeddings/oleObject3.bin"/><Relationship Id="rId16" Type="http://schemas.openxmlformats.org/officeDocument/2006/relationships/image" Target="media/image10.wmf"/><Relationship Id="rId15" Type="http://schemas.openxmlformats.org/officeDocument/2006/relationships/oleObject" Target="embeddings/oleObject2.bin"/><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5</TotalTime>
  <ScaleCrop>false</ScaleCrop>
  <LinksUpToDate>false</LinksUpToDate>
  <CharactersWithSpaces>2909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2022-11-07T13:49:32Z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